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FC" w:rsidRPr="00492A2E" w:rsidRDefault="007611FC" w:rsidP="003273F4">
      <w:pPr>
        <w:jc w:val="left"/>
        <w:rPr>
          <w:b/>
          <w:color w:val="2F5496" w:themeColor="accent1" w:themeShade="BF"/>
          <w:sz w:val="22"/>
        </w:rPr>
      </w:pPr>
      <w:r w:rsidRPr="00492A2E">
        <w:rPr>
          <w:b/>
          <w:color w:val="2F5496" w:themeColor="accent1" w:themeShade="BF"/>
          <w:sz w:val="22"/>
        </w:rPr>
        <w:t xml:space="preserve">Formulier: </w:t>
      </w:r>
      <w:bookmarkStart w:id="0" w:name="_Hlk32232015"/>
      <w:r w:rsidRPr="00492A2E">
        <w:rPr>
          <w:b/>
          <w:color w:val="2F5496" w:themeColor="accent1" w:themeShade="BF"/>
          <w:sz w:val="22"/>
        </w:rPr>
        <w:t>beoordeling EPA</w:t>
      </w:r>
      <w:r w:rsidR="003273F4" w:rsidRPr="00492A2E">
        <w:rPr>
          <w:b/>
          <w:color w:val="2F5496" w:themeColor="accent1" w:themeShade="BF"/>
          <w:sz w:val="22"/>
        </w:rPr>
        <w:t>’</w:t>
      </w:r>
      <w:r w:rsidRPr="00492A2E">
        <w:rPr>
          <w:b/>
          <w:color w:val="2F5496" w:themeColor="accent1" w:themeShade="BF"/>
          <w:sz w:val="22"/>
        </w:rPr>
        <w:t>s</w:t>
      </w:r>
      <w:r w:rsidR="003273F4" w:rsidRPr="00492A2E">
        <w:rPr>
          <w:b/>
          <w:color w:val="2F5496" w:themeColor="accent1" w:themeShade="BF"/>
          <w:sz w:val="22"/>
        </w:rPr>
        <w:t xml:space="preserve"> </w:t>
      </w:r>
      <w:r w:rsidR="00492A2E">
        <w:rPr>
          <w:b/>
          <w:color w:val="2F5496" w:themeColor="accent1" w:themeShade="BF"/>
          <w:sz w:val="22"/>
        </w:rPr>
        <w:t>&amp;</w:t>
      </w:r>
      <w:r w:rsidR="003273F4" w:rsidRPr="00492A2E">
        <w:rPr>
          <w:b/>
          <w:color w:val="2F5496" w:themeColor="accent1" w:themeShade="BF"/>
          <w:sz w:val="22"/>
        </w:rPr>
        <w:t xml:space="preserve"> generieke activiteiten</w:t>
      </w:r>
      <w:r w:rsidR="00B30914" w:rsidRPr="00492A2E">
        <w:rPr>
          <w:b/>
          <w:color w:val="2F5496" w:themeColor="accent1" w:themeShade="BF"/>
          <w:sz w:val="22"/>
        </w:rPr>
        <w:t xml:space="preserve"> Revalidatiegeneeskunde</w:t>
      </w:r>
      <w:r w:rsidR="007F7226" w:rsidRPr="00492A2E">
        <w:rPr>
          <w:b/>
          <w:color w:val="2F5496" w:themeColor="accent1" w:themeShade="BF"/>
          <w:sz w:val="22"/>
        </w:rPr>
        <w:t xml:space="preserve"> </w:t>
      </w:r>
      <w:r w:rsidR="00F26CDC" w:rsidRPr="00492A2E">
        <w:rPr>
          <w:b/>
          <w:color w:val="2F5496" w:themeColor="accent1" w:themeShade="BF"/>
          <w:sz w:val="22"/>
        </w:rPr>
        <w:t xml:space="preserve">bij start </w:t>
      </w:r>
      <w:r w:rsidR="00492A2E">
        <w:rPr>
          <w:b/>
          <w:color w:val="2F5496" w:themeColor="accent1" w:themeShade="BF"/>
          <w:sz w:val="22"/>
        </w:rPr>
        <w:br/>
      </w:r>
      <w:r w:rsidR="00F26CDC" w:rsidRPr="00492A2E">
        <w:rPr>
          <w:b/>
          <w:color w:val="2F5496" w:themeColor="accent1" w:themeShade="BF"/>
          <w:sz w:val="22"/>
        </w:rPr>
        <w:t>Landelijk Opleidingsplan BETER in Beweging</w:t>
      </w:r>
      <w:bookmarkStart w:id="1" w:name="_GoBack"/>
      <w:bookmarkEnd w:id="0"/>
      <w:bookmarkEnd w:id="1"/>
    </w:p>
    <w:p w:rsidR="003273F4" w:rsidRPr="003273F4" w:rsidRDefault="003273F4" w:rsidP="003273F4">
      <w:pPr>
        <w:spacing w:after="0"/>
      </w:pPr>
      <w:r w:rsidRPr="003273F4">
        <w:t>Aios:</w:t>
      </w:r>
    </w:p>
    <w:p w:rsidR="003273F4" w:rsidRPr="003273F4" w:rsidRDefault="003273F4" w:rsidP="003273F4">
      <w:pPr>
        <w:spacing w:after="0"/>
      </w:pPr>
      <w:r w:rsidRPr="003273F4">
        <w:t>Datum: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1134"/>
        <w:gridCol w:w="1276"/>
      </w:tblGrid>
      <w:tr w:rsidR="00A72D81" w:rsidRPr="00AB7CE5" w:rsidTr="00104116">
        <w:trPr>
          <w:tblHeader/>
        </w:trPr>
        <w:tc>
          <w:tcPr>
            <w:tcW w:w="46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Voortgang/beoordeling EPA’s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Inschatting bekwaamheid: supervisieniveau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72D81" w:rsidRPr="00AB7CE5" w:rsidTr="00104116">
        <w:trPr>
          <w:tblHeader/>
        </w:trPr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7CE5"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7CE5">
              <w:rPr>
                <w:b/>
                <w:sz w:val="18"/>
                <w:szCs w:val="18"/>
              </w:rPr>
              <w:t>Eindoordeel</w:t>
            </w:r>
          </w:p>
        </w:tc>
      </w:tr>
      <w:tr w:rsidR="00A72D81" w:rsidRPr="00AB7CE5" w:rsidTr="00104116">
        <w:trPr>
          <w:trHeight w:val="349"/>
          <w:tblHeader/>
        </w:trPr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AIOS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7CE5">
              <w:rPr>
                <w:b/>
                <w:sz w:val="18"/>
                <w:szCs w:val="18"/>
              </w:rPr>
              <w:t>Opleider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rPr>
                <w:rFonts w:eastAsia="Times New Roman" w:cs="Calibri"/>
                <w:sz w:val="18"/>
                <w:szCs w:val="18"/>
              </w:rPr>
            </w:pPr>
            <w:r w:rsidRPr="00B30914">
              <w:rPr>
                <w:rFonts w:eastAsia="Times New Roman" w:cs="Calibri"/>
                <w:sz w:val="18"/>
                <w:szCs w:val="18"/>
              </w:rPr>
              <w:t>Leveren van zorg op een klinische revalidatieafdeling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</w:t>
            </w:r>
            <w:r>
              <w:rPr>
                <w:rFonts w:cs="Calibri"/>
                <w:b/>
                <w:i/>
                <w:sz w:val="18"/>
                <w:szCs w:val="18"/>
                <w:vertAlign w:val="superscript"/>
              </w:rPr>
              <w:t>2</w:t>
            </w:r>
            <w:r w:rsidRPr="00DA31BA">
              <w:rPr>
                <w:rFonts w:cs="Calibr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72D81" w:rsidRPr="00DA31BA" w:rsidRDefault="00A72D81" w:rsidP="00A72D8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30914">
              <w:rPr>
                <w:rFonts w:eastAsia="Times New Roman" w:cs="Calibri"/>
                <w:color w:val="000000"/>
                <w:sz w:val="18"/>
                <w:szCs w:val="18"/>
              </w:rPr>
              <w:t xml:space="preserve">Acute zorg leveren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dienst doen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Poliklinisch spreekuur uitvoeren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72D81" w:rsidRPr="00DA31BA" w:rsidRDefault="00A72D81" w:rsidP="00A72D81">
            <w:pPr>
              <w:spacing w:after="0" w:line="240" w:lineRule="auto"/>
              <w:ind w:left="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Interdisciplinair revalidatiebehandeling aansturen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ind w:left="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Intercollegiaal consult (ICC) uitvoeren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Cognitieve functiestoornissen diagnosticeren en behandelen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Communicatief functioneren diagnosticeren en behandelen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Loopvaardigheden diagnosticeren en behandelen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Arm-handvaardigheden diagnosticeren en behandelen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ind w:left="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Problemen met liggen, zitten en transfers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ind w:left="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Ontwikkelingsgericht werken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2D81" w:rsidRPr="00DA31BA" w:rsidRDefault="00A72D81" w:rsidP="00A72D81">
            <w:pPr>
              <w:spacing w:after="0" w:line="240" w:lineRule="auto"/>
              <w:ind w:left="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Zorg in de chronische fase leveren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2D81" w:rsidRPr="00AB7CE5" w:rsidTr="00104116">
        <w:tc>
          <w:tcPr>
            <w:tcW w:w="562" w:type="dxa"/>
            <w:shd w:val="clear" w:color="auto" w:fill="auto"/>
          </w:tcPr>
          <w:p w:rsidR="00A72D81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A72D81" w:rsidRPr="00DA31BA" w:rsidRDefault="00A72D81" w:rsidP="00A72D81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D81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A72D81" w:rsidRPr="00AB7CE5" w:rsidRDefault="00A72D81" w:rsidP="00A72D81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2D81" w:rsidRPr="00AB7CE5" w:rsidRDefault="00A72D81" w:rsidP="00A72D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F26CDC" w:rsidRDefault="00F26CDC" w:rsidP="007611FC">
      <w:pPr>
        <w:spacing w:after="0" w:line="240" w:lineRule="auto"/>
        <w:rPr>
          <w:rFonts w:cs="Calibri"/>
          <w:b/>
          <w:sz w:val="18"/>
          <w:szCs w:val="18"/>
        </w:rPr>
      </w:pPr>
    </w:p>
    <w:p w:rsidR="007611FC" w:rsidRPr="00AB7CE5" w:rsidRDefault="007611FC" w:rsidP="007F7226">
      <w:pPr>
        <w:spacing w:after="160" w:line="259" w:lineRule="auto"/>
        <w:jc w:val="left"/>
        <w:rPr>
          <w:rFonts w:cs="Calibri"/>
          <w:b/>
          <w:sz w:val="18"/>
          <w:szCs w:val="18"/>
        </w:rPr>
      </w:pPr>
      <w:r w:rsidRPr="00AB7CE5">
        <w:rPr>
          <w:rFonts w:cs="Calibri"/>
          <w:b/>
          <w:sz w:val="18"/>
          <w:szCs w:val="18"/>
        </w:rPr>
        <w:t>Ad. 1: toelichting supervisieniveaus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3319"/>
        <w:gridCol w:w="5812"/>
      </w:tblGrid>
      <w:tr w:rsidR="007611FC" w:rsidRPr="00AB7CE5" w:rsidTr="00E7726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pStyle w:val="Lijstalinea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b/>
                <w:sz w:val="16"/>
                <w:szCs w:val="16"/>
                <w:lang w:eastAsia="nl-NL"/>
              </w:rPr>
              <w:t>Niveau: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pStyle w:val="Lijstalinea"/>
              <w:spacing w:after="0" w:line="240" w:lineRule="auto"/>
              <w:ind w:left="0"/>
              <w:rPr>
                <w:rFonts w:cs="Calibri"/>
                <w:b/>
                <w:i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b/>
                <w:i/>
                <w:sz w:val="16"/>
                <w:szCs w:val="16"/>
                <w:lang w:eastAsia="nl-NL"/>
              </w:rPr>
              <w:t>Toelichting</w:t>
            </w:r>
          </w:p>
        </w:tc>
      </w:tr>
      <w:tr w:rsidR="007611FC" w:rsidRPr="00AB7CE5" w:rsidTr="00E7726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pStyle w:val="Lijstalinea"/>
              <w:spacing w:after="0" w:line="240" w:lineRule="auto"/>
              <w:ind w:left="28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de </w:t>
            </w:r>
            <w:r w:rsidR="00F26CDC">
              <w:rPr>
                <w:rFonts w:cs="Calibri"/>
                <w:sz w:val="16"/>
                <w:szCs w:val="16"/>
                <w:lang w:eastAsia="nl-NL"/>
              </w:rPr>
              <w:t>aios</w:t>
            </w: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 observeert (voert niet zelf uit)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spacing w:after="0" w:line="240" w:lineRule="auto"/>
              <w:rPr>
                <w:rFonts w:cs="Calibri"/>
                <w:i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i/>
                <w:sz w:val="16"/>
                <w:szCs w:val="16"/>
                <w:lang w:eastAsia="nl-NL"/>
              </w:rPr>
              <w:t>Geen toestemming tot handelen: aanwezig zijn en observeren</w:t>
            </w:r>
          </w:p>
        </w:tc>
      </w:tr>
      <w:tr w:rsidR="007611FC" w:rsidRPr="00AB7CE5" w:rsidTr="00E7726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pStyle w:val="Lijstalinea"/>
              <w:spacing w:after="0" w:line="240" w:lineRule="auto"/>
              <w:ind w:left="28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de </w:t>
            </w:r>
            <w:r w:rsidR="00F26CDC">
              <w:rPr>
                <w:rFonts w:cs="Calibri"/>
                <w:sz w:val="16"/>
                <w:szCs w:val="16"/>
                <w:lang w:eastAsia="nl-NL"/>
              </w:rPr>
              <w:t>aios</w:t>
            </w: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 voert een activiteit uit onder directe, proactieve supervisie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F26CDC">
            <w:pPr>
              <w:spacing w:after="0" w:line="240" w:lineRule="auto"/>
              <w:rPr>
                <w:rFonts w:eastAsia="Times New Roman" w:cs="Calibri"/>
                <w:i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i/>
                <w:sz w:val="16"/>
                <w:szCs w:val="16"/>
                <w:lang w:eastAsia="nl-NL"/>
              </w:rPr>
              <w:t>De supervisor is aanwezig in dezelfde ruimte.</w:t>
            </w:r>
            <w:r w:rsidR="00F26CDC">
              <w:rPr>
                <w:rFonts w:cs="Calibri"/>
                <w:i/>
                <w:sz w:val="16"/>
                <w:szCs w:val="16"/>
                <w:lang w:eastAsia="nl-NL"/>
              </w:rPr>
              <w:t xml:space="preserve"> </w:t>
            </w:r>
            <w:r w:rsidRPr="00AB7CE5">
              <w:rPr>
                <w:rFonts w:eastAsia="Times New Roman" w:cs="Calibri"/>
                <w:i/>
                <w:iCs/>
                <w:sz w:val="16"/>
                <w:szCs w:val="16"/>
                <w:lang w:eastAsia="nl-NL"/>
              </w:rPr>
              <w:t>Op initiatief van de opleider/supervisor worden afspraken gemaakt over de wijze en frequentie van supervisie. </w:t>
            </w:r>
          </w:p>
        </w:tc>
      </w:tr>
      <w:tr w:rsidR="007611FC" w:rsidRPr="00AB7CE5" w:rsidTr="00E7726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pStyle w:val="Lijstalinea"/>
              <w:spacing w:after="0" w:line="240" w:lineRule="auto"/>
              <w:ind w:left="28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de </w:t>
            </w:r>
            <w:r w:rsidR="00F26CDC">
              <w:rPr>
                <w:rFonts w:cs="Calibri"/>
                <w:sz w:val="16"/>
                <w:szCs w:val="16"/>
                <w:lang w:eastAsia="nl-NL"/>
              </w:rPr>
              <w:t>aios</w:t>
            </w: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 voert een activiteit uit onder indirecte, reactieve supervisie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F26CD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i/>
                <w:sz w:val="16"/>
                <w:szCs w:val="16"/>
                <w:lang w:eastAsia="nl-NL"/>
              </w:rPr>
              <w:t>De supervisor is niet in dezelfde ruimte maar wel snel</w:t>
            </w:r>
            <w:r w:rsidR="00F26CDC">
              <w:rPr>
                <w:rFonts w:cs="Calibri"/>
                <w:i/>
                <w:sz w:val="16"/>
                <w:szCs w:val="16"/>
                <w:lang w:eastAsia="nl-NL"/>
              </w:rPr>
              <w:t xml:space="preserve"> </w:t>
            </w:r>
            <w:r w:rsidRPr="00AB7CE5">
              <w:rPr>
                <w:rFonts w:cs="Calibri"/>
                <w:i/>
                <w:sz w:val="16"/>
                <w:szCs w:val="16"/>
                <w:lang w:eastAsia="nl-NL"/>
              </w:rPr>
              <w:t xml:space="preserve">beschikbaar indien nodig. Supervisor en </w:t>
            </w:r>
            <w:r w:rsidR="00F26CDC">
              <w:rPr>
                <w:rFonts w:cs="Calibri"/>
                <w:i/>
                <w:sz w:val="16"/>
                <w:szCs w:val="16"/>
                <w:lang w:eastAsia="nl-NL"/>
              </w:rPr>
              <w:t>aios</w:t>
            </w:r>
            <w:r w:rsidRPr="00AB7CE5">
              <w:rPr>
                <w:rFonts w:cs="Calibri"/>
                <w:i/>
                <w:sz w:val="16"/>
                <w:szCs w:val="16"/>
                <w:lang w:eastAsia="nl-NL"/>
              </w:rPr>
              <w:t xml:space="preserve"> maken (initiatief </w:t>
            </w:r>
            <w:r w:rsidR="00F26CDC">
              <w:rPr>
                <w:rFonts w:cs="Calibri"/>
                <w:i/>
                <w:sz w:val="16"/>
                <w:szCs w:val="16"/>
                <w:lang w:eastAsia="nl-NL"/>
              </w:rPr>
              <w:t>aios</w:t>
            </w:r>
            <w:r w:rsidRPr="00AB7CE5">
              <w:rPr>
                <w:rFonts w:cs="Calibri"/>
                <w:i/>
                <w:sz w:val="16"/>
                <w:szCs w:val="16"/>
                <w:lang w:eastAsia="nl-NL"/>
              </w:rPr>
              <w:t>) afspraken over de mate van zelfstandigheid en over de momenten waarop overleg moet plaatsvinden</w:t>
            </w:r>
          </w:p>
        </w:tc>
      </w:tr>
      <w:tr w:rsidR="007611FC" w:rsidRPr="00AB7CE5" w:rsidTr="00E7726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pStyle w:val="Lijstalinea"/>
              <w:spacing w:after="0" w:line="240" w:lineRule="auto"/>
              <w:ind w:left="28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7611FC" w:rsidP="00E77264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de </w:t>
            </w:r>
            <w:r w:rsidR="00F26CDC">
              <w:rPr>
                <w:rFonts w:cs="Calibri"/>
                <w:sz w:val="16"/>
                <w:szCs w:val="16"/>
                <w:lang w:eastAsia="nl-NL"/>
              </w:rPr>
              <w:t>aios</w:t>
            </w:r>
            <w:r w:rsidRPr="00AB7CE5">
              <w:rPr>
                <w:rFonts w:cs="Calibri"/>
                <w:sz w:val="16"/>
                <w:szCs w:val="16"/>
                <w:lang w:eastAsia="nl-NL"/>
              </w:rPr>
              <w:t xml:space="preserve"> voert een activiteit geheel zelfstandig uit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FC" w:rsidRPr="00AB7CE5" w:rsidRDefault="00F26CDC" w:rsidP="00E77264">
            <w:pPr>
              <w:pStyle w:val="Lijstalinea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eastAsia="nl-NL"/>
              </w:rPr>
            </w:pPr>
            <w:r>
              <w:rPr>
                <w:rFonts w:cs="Calibri"/>
                <w:i/>
                <w:sz w:val="16"/>
                <w:szCs w:val="16"/>
                <w:lang w:eastAsia="nl-NL"/>
              </w:rPr>
              <w:t>De supervisie is op afstand, er wordt op een later moment geëvalueerd hoe het verloop was</w:t>
            </w:r>
            <w:r w:rsidR="007611FC" w:rsidRPr="00AB7CE5">
              <w:rPr>
                <w:rFonts w:cs="Calibri"/>
                <w:i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7F7226" w:rsidRPr="00AB7CE5" w:rsidTr="00E7726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26" w:rsidRPr="00AB7CE5" w:rsidRDefault="007F7226" w:rsidP="00E77264">
            <w:pPr>
              <w:pStyle w:val="Lijstalinea"/>
              <w:spacing w:after="0" w:line="240" w:lineRule="auto"/>
              <w:ind w:left="28"/>
              <w:rPr>
                <w:rFonts w:cs="Calibri"/>
                <w:sz w:val="16"/>
                <w:szCs w:val="16"/>
                <w:lang w:eastAsia="nl-NL"/>
              </w:rPr>
            </w:pPr>
            <w:r>
              <w:rPr>
                <w:rFonts w:cs="Calibri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26" w:rsidRPr="00AB7CE5" w:rsidRDefault="007F7226" w:rsidP="00E77264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>
              <w:rPr>
                <w:rFonts w:cs="Calibri"/>
                <w:sz w:val="16"/>
                <w:szCs w:val="16"/>
                <w:lang w:eastAsia="nl-NL"/>
              </w:rPr>
              <w:t xml:space="preserve">De aios geeft zelf </w:t>
            </w:r>
            <w:r w:rsidR="00F26CDC">
              <w:rPr>
                <w:rFonts w:cs="Calibri"/>
                <w:sz w:val="16"/>
                <w:szCs w:val="16"/>
                <w:lang w:eastAsia="nl-NL"/>
              </w:rPr>
              <w:t>supervisie</w:t>
            </w:r>
            <w:r>
              <w:rPr>
                <w:rFonts w:cs="Calibri"/>
                <w:sz w:val="16"/>
                <w:szCs w:val="16"/>
                <w:lang w:eastAsia="nl-NL"/>
              </w:rPr>
              <w:t xml:space="preserve"> aan minder ervaren ai</w:t>
            </w:r>
            <w:r w:rsidR="00F26CDC">
              <w:rPr>
                <w:rFonts w:cs="Calibri"/>
                <w:sz w:val="16"/>
                <w:szCs w:val="16"/>
                <w:lang w:eastAsia="nl-NL"/>
              </w:rPr>
              <w:t>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26" w:rsidRPr="00AB7CE5" w:rsidRDefault="00F26CDC" w:rsidP="00E77264">
            <w:pPr>
              <w:pStyle w:val="Lijstalinea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eastAsia="nl-NL"/>
              </w:rPr>
            </w:pPr>
            <w:r>
              <w:rPr>
                <w:rFonts w:cs="Calibri"/>
                <w:i/>
                <w:sz w:val="16"/>
                <w:szCs w:val="16"/>
                <w:lang w:eastAsia="nl-NL"/>
              </w:rPr>
              <w:t>De aios voert hier zelf de rol van supervisor uit bij minder ervaren collega’s</w:t>
            </w:r>
          </w:p>
        </w:tc>
      </w:tr>
    </w:tbl>
    <w:p w:rsidR="007611FC" w:rsidRDefault="007611FC" w:rsidP="007611FC">
      <w:pPr>
        <w:pStyle w:val="Geenafstand"/>
        <w:rPr>
          <w:rFonts w:eastAsia="Calibri"/>
          <w:color w:val="2F5496"/>
          <w:sz w:val="18"/>
          <w:szCs w:val="18"/>
        </w:rPr>
      </w:pPr>
    </w:p>
    <w:p w:rsidR="00104116" w:rsidRDefault="00104116" w:rsidP="007611F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611FC" w:rsidRPr="00304FF2" w:rsidRDefault="007611FC" w:rsidP="007611F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04FF2">
        <w:rPr>
          <w:rFonts w:ascii="Arial" w:hAnsi="Arial" w:cs="Arial"/>
          <w:b/>
          <w:sz w:val="16"/>
          <w:szCs w:val="16"/>
        </w:rPr>
        <w:lastRenderedPageBreak/>
        <w:t xml:space="preserve">Ad. 2: Hulpvragen t.b.v. toelichting: </w:t>
      </w:r>
    </w:p>
    <w:p w:rsidR="007611FC" w:rsidRPr="00793B70" w:rsidRDefault="007611FC" w:rsidP="007611FC">
      <w:pPr>
        <w:numPr>
          <w:ilvl w:val="0"/>
          <w:numId w:val="2"/>
        </w:numPr>
        <w:spacing w:after="0" w:line="240" w:lineRule="auto"/>
        <w:ind w:left="289" w:hanging="284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Waar baseer je dat op? Welke assessmentinstrumenten zijn gebruikt? </w:t>
      </w:r>
      <w:r w:rsidRPr="00793B70">
        <w:rPr>
          <w:rFonts w:ascii="Arial" w:hAnsi="Arial" w:cs="Arial"/>
          <w:i/>
          <w:sz w:val="16"/>
          <w:szCs w:val="16"/>
        </w:rPr>
        <w:t>(zie betreffende EPA-beschrijving(en)).</w:t>
      </w:r>
    </w:p>
    <w:p w:rsidR="007611FC" w:rsidRPr="00DA31BA" w:rsidRDefault="007611FC" w:rsidP="007611FC">
      <w:pPr>
        <w:numPr>
          <w:ilvl w:val="0"/>
          <w:numId w:val="1"/>
        </w:numPr>
        <w:spacing w:after="0" w:line="240" w:lineRule="auto"/>
        <w:ind w:left="289" w:hanging="284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Wat gaat goed? </w:t>
      </w:r>
      <w:r w:rsidRPr="00DA31BA">
        <w:rPr>
          <w:rFonts w:ascii="Arial" w:hAnsi="Arial" w:cs="Arial"/>
          <w:sz w:val="16"/>
          <w:szCs w:val="16"/>
        </w:rPr>
        <w:t xml:space="preserve">Wat kan beter? </w:t>
      </w:r>
    </w:p>
    <w:p w:rsidR="00036E4A" w:rsidRDefault="007611FC" w:rsidP="007F7226">
      <w:pPr>
        <w:numPr>
          <w:ilvl w:val="0"/>
          <w:numId w:val="1"/>
        </w:numPr>
        <w:spacing w:after="0" w:line="240" w:lineRule="auto"/>
        <w:ind w:left="289" w:hanging="284"/>
        <w:jc w:val="left"/>
        <w:rPr>
          <w:rFonts w:ascii="Arial" w:hAnsi="Arial" w:cs="Arial"/>
          <w:sz w:val="16"/>
          <w:szCs w:val="16"/>
        </w:rPr>
      </w:pPr>
      <w:r w:rsidRPr="0053311D">
        <w:rPr>
          <w:rFonts w:ascii="Arial" w:hAnsi="Arial" w:cs="Arial"/>
          <w:sz w:val="16"/>
          <w:szCs w:val="16"/>
        </w:rPr>
        <w:t>Wat te doen om een hoger bekwaamheidsniveau te bereiken?</w:t>
      </w:r>
    </w:p>
    <w:p w:rsidR="00F26CDC" w:rsidRDefault="00F26CDC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3273F4" w:rsidRDefault="003273F4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3273F4" w:rsidRDefault="003273F4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111"/>
        <w:gridCol w:w="850"/>
        <w:gridCol w:w="992"/>
        <w:gridCol w:w="851"/>
        <w:gridCol w:w="992"/>
        <w:gridCol w:w="1134"/>
      </w:tblGrid>
      <w:tr w:rsidR="003273F4" w:rsidRPr="00AB7CE5" w:rsidTr="003273F4">
        <w:trPr>
          <w:tblHeader/>
        </w:trPr>
        <w:tc>
          <w:tcPr>
            <w:tcW w:w="4390" w:type="dxa"/>
            <w:gridSpan w:val="2"/>
            <w:tcBorders>
              <w:right w:val="single" w:sz="12" w:space="0" w:color="auto"/>
            </w:tcBorders>
          </w:tcPr>
          <w:p w:rsidR="003273F4" w:rsidRDefault="003273F4" w:rsidP="005679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Voortgang/(tussen)beoordeling generieke activiteiten</w:t>
            </w:r>
          </w:p>
        </w:tc>
        <w:tc>
          <w:tcPr>
            <w:tcW w:w="4819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273F4" w:rsidRPr="003273F4" w:rsidRDefault="003273F4" w:rsidP="005679DC">
            <w:pPr>
              <w:spacing w:after="0" w:line="240" w:lineRule="auto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Inschatting bekwaamheid: supervisieniveau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3273F4" w:rsidRPr="00AB7CE5" w:rsidTr="003273F4">
        <w:trPr>
          <w:tblHeader/>
        </w:trPr>
        <w:tc>
          <w:tcPr>
            <w:tcW w:w="279" w:type="dxa"/>
            <w:shd w:val="clear" w:color="auto" w:fill="auto"/>
          </w:tcPr>
          <w:p w:rsidR="003273F4" w:rsidRPr="00AB7CE5" w:rsidRDefault="003273F4" w:rsidP="005679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5679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5679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Basisniveau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5679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Verdiepingsniveau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5679D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7CE5">
              <w:rPr>
                <w:b/>
                <w:sz w:val="18"/>
                <w:szCs w:val="18"/>
              </w:rPr>
              <w:t>Eindoordeel</w:t>
            </w:r>
          </w:p>
        </w:tc>
      </w:tr>
      <w:tr w:rsidR="003273F4" w:rsidRPr="00AB7CE5" w:rsidTr="003273F4">
        <w:trPr>
          <w:trHeight w:val="349"/>
          <w:tblHeader/>
        </w:trPr>
        <w:tc>
          <w:tcPr>
            <w:tcW w:w="279" w:type="dxa"/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Generieke activiteit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AIOS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7CE5">
              <w:rPr>
                <w:b/>
                <w:sz w:val="18"/>
                <w:szCs w:val="18"/>
              </w:rPr>
              <w:t>Opleider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AIOS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7CE5">
              <w:rPr>
                <w:b/>
                <w:sz w:val="18"/>
                <w:szCs w:val="18"/>
              </w:rPr>
              <w:t>Opleider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73F4" w:rsidRPr="00AB7CE5" w:rsidTr="003273F4">
        <w:tc>
          <w:tcPr>
            <w:tcW w:w="279" w:type="dxa"/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3F4" w:rsidRPr="00DA31BA" w:rsidRDefault="003273F4" w:rsidP="003273F4">
            <w:pPr>
              <w:pStyle w:val="Lijstalinea"/>
              <w:spacing w:after="0" w:line="240" w:lineRule="auto"/>
              <w:ind w:left="3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Leiding geven en organiseren (medisch leiderschap)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73F4" w:rsidRPr="00AB7CE5" w:rsidTr="003273F4">
        <w:tc>
          <w:tcPr>
            <w:tcW w:w="279" w:type="dxa"/>
            <w:shd w:val="clear" w:color="auto" w:fill="auto"/>
          </w:tcPr>
          <w:p w:rsidR="003273F4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3273F4" w:rsidRPr="00DA31BA" w:rsidRDefault="003273F4" w:rsidP="003273F4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Default="003273F4" w:rsidP="003273F4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3273F4" w:rsidRPr="00AB7CE5" w:rsidRDefault="003273F4" w:rsidP="003273F4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73F4" w:rsidRPr="00AB7CE5" w:rsidTr="003273F4">
        <w:tc>
          <w:tcPr>
            <w:tcW w:w="279" w:type="dxa"/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3273F4" w:rsidRPr="00DA31BA" w:rsidRDefault="003273F4" w:rsidP="003273F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Actief bijdragen aan de wetenschap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73F4" w:rsidRPr="00AB7CE5" w:rsidTr="003273F4">
        <w:tc>
          <w:tcPr>
            <w:tcW w:w="279" w:type="dxa"/>
            <w:shd w:val="clear" w:color="auto" w:fill="auto"/>
          </w:tcPr>
          <w:p w:rsidR="003273F4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3273F4" w:rsidRPr="00DA31BA" w:rsidRDefault="003273F4" w:rsidP="003273F4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Default="003273F4" w:rsidP="003273F4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3273F4" w:rsidRPr="00AB7CE5" w:rsidRDefault="003273F4" w:rsidP="003273F4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73F4" w:rsidRPr="00AB7CE5" w:rsidTr="003273F4"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3F4" w:rsidRPr="00DA31BA" w:rsidRDefault="003273F4" w:rsidP="003273F4">
            <w:pPr>
              <w:pStyle w:val="Lijstalinea"/>
              <w:spacing w:after="0" w:line="240" w:lineRule="auto"/>
              <w:ind w:left="3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Onderwijs en supervisie verzorgen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73F4" w:rsidRPr="00AB7CE5" w:rsidTr="003273F4">
        <w:tc>
          <w:tcPr>
            <w:tcW w:w="279" w:type="dxa"/>
            <w:shd w:val="clear" w:color="auto" w:fill="auto"/>
          </w:tcPr>
          <w:p w:rsidR="003273F4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</w:tcPr>
          <w:p w:rsidR="003273F4" w:rsidRPr="00DA31BA" w:rsidRDefault="003273F4" w:rsidP="003273F4">
            <w:pPr>
              <w:pStyle w:val="Lijstalinea"/>
              <w:spacing w:after="0" w:line="240" w:lineRule="auto"/>
              <w:ind w:left="30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DA31BA">
              <w:rPr>
                <w:rFonts w:cs="Calibri"/>
                <w:b/>
                <w:i/>
                <w:sz w:val="18"/>
                <w:szCs w:val="18"/>
              </w:rPr>
              <w:t>Toelichting: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Default="003273F4" w:rsidP="003273F4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:rsidR="003273F4" w:rsidRPr="00AB7CE5" w:rsidRDefault="003273F4" w:rsidP="003273F4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3273F4" w:rsidRPr="00AB7CE5" w:rsidRDefault="003273F4" w:rsidP="0032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273F4" w:rsidRDefault="003273F4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3273F4" w:rsidRDefault="003273F4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F26CDC" w:rsidRDefault="00F26CDC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Basis niveau: behaald ja / nee</w:t>
      </w:r>
    </w:p>
    <w:p w:rsidR="00F26CDC" w:rsidRPr="007F7226" w:rsidRDefault="00F26CDC" w:rsidP="00F26CDC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Verdieping niveau: behaald ja / nee</w:t>
      </w:r>
    </w:p>
    <w:sectPr w:rsidR="00F26CDC" w:rsidRPr="007F7226" w:rsidSect="007611FC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803" w:rsidRDefault="003E0803" w:rsidP="003D0849">
      <w:pPr>
        <w:spacing w:after="0" w:line="240" w:lineRule="auto"/>
      </w:pPr>
      <w:r>
        <w:separator/>
      </w:r>
    </w:p>
  </w:endnote>
  <w:endnote w:type="continuationSeparator" w:id="0">
    <w:p w:rsidR="003E0803" w:rsidRDefault="003E0803" w:rsidP="003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2E" w:rsidRDefault="00492A2E">
    <w:pPr>
      <w:pStyle w:val="Voettekst"/>
    </w:pPr>
    <w:r>
      <w:t>VRA, Februari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803" w:rsidRDefault="003E0803" w:rsidP="003D0849">
      <w:pPr>
        <w:spacing w:after="0" w:line="240" w:lineRule="auto"/>
      </w:pPr>
      <w:r>
        <w:separator/>
      </w:r>
    </w:p>
  </w:footnote>
  <w:footnote w:type="continuationSeparator" w:id="0">
    <w:p w:rsidR="003E0803" w:rsidRDefault="003E0803" w:rsidP="003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849" w:rsidRDefault="003D0849">
    <w:pPr>
      <w:pStyle w:val="Koptekst"/>
    </w:pPr>
    <w:r w:rsidRPr="004F523D">
      <w:rPr>
        <w:rFonts w:ascii="Arial" w:hAnsi="Arial" w:cs="Arial"/>
        <w:bCs/>
        <w:i/>
        <w:noProof/>
        <w:color w:val="000000" w:themeColor="text1"/>
        <w:sz w:val="40"/>
        <w:szCs w:val="34"/>
        <w:lang w:eastAsia="nl-NL"/>
      </w:rPr>
      <w:drawing>
        <wp:anchor distT="0" distB="0" distL="114300" distR="114300" simplePos="0" relativeHeight="251659264" behindDoc="1" locked="0" layoutInCell="1" allowOverlap="1" wp14:anchorId="62A6B2B4" wp14:editId="30227C55">
          <wp:simplePos x="0" y="0"/>
          <wp:positionH relativeFrom="rightMargin">
            <wp:posOffset>-658495</wp:posOffset>
          </wp:positionH>
          <wp:positionV relativeFrom="paragraph">
            <wp:posOffset>-116205</wp:posOffset>
          </wp:positionV>
          <wp:extent cx="1285438" cy="78486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a LOGO_300dp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438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06A36"/>
    <w:multiLevelType w:val="hybridMultilevel"/>
    <w:tmpl w:val="DF2AF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4094"/>
    <w:multiLevelType w:val="hybridMultilevel"/>
    <w:tmpl w:val="6AD29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FC"/>
    <w:rsid w:val="00036E4A"/>
    <w:rsid w:val="00104116"/>
    <w:rsid w:val="00122DB9"/>
    <w:rsid w:val="001B0696"/>
    <w:rsid w:val="00217084"/>
    <w:rsid w:val="003273F4"/>
    <w:rsid w:val="003D0849"/>
    <w:rsid w:val="003E0803"/>
    <w:rsid w:val="00492A2E"/>
    <w:rsid w:val="00741034"/>
    <w:rsid w:val="007611FC"/>
    <w:rsid w:val="007A0638"/>
    <w:rsid w:val="007F7226"/>
    <w:rsid w:val="008C7869"/>
    <w:rsid w:val="009D5ED2"/>
    <w:rsid w:val="00A72D81"/>
    <w:rsid w:val="00B30914"/>
    <w:rsid w:val="00CF513F"/>
    <w:rsid w:val="00E31666"/>
    <w:rsid w:val="00E8330C"/>
    <w:rsid w:val="00F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4CF5"/>
  <w15:chartTrackingRefBased/>
  <w15:docId w15:val="{836D8F8D-5C0A-4DA0-88A8-E27D9BBA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611FC"/>
    <w:pPr>
      <w:spacing w:after="120" w:line="276" w:lineRule="auto"/>
      <w:jc w:val="both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7611FC"/>
    <w:pPr>
      <w:spacing w:after="160" w:line="259" w:lineRule="auto"/>
      <w:ind w:left="720"/>
      <w:contextualSpacing/>
      <w:jc w:val="left"/>
    </w:pPr>
    <w:rPr>
      <w:sz w:val="22"/>
    </w:rPr>
  </w:style>
  <w:style w:type="character" w:customStyle="1" w:styleId="LijstalineaChar">
    <w:name w:val="Lijstalinea Char"/>
    <w:link w:val="Lijstalinea"/>
    <w:uiPriority w:val="34"/>
    <w:rsid w:val="007611FC"/>
  </w:style>
  <w:style w:type="paragraph" w:styleId="Geenafstand">
    <w:name w:val="No Spacing"/>
    <w:uiPriority w:val="1"/>
    <w:qFormat/>
    <w:rsid w:val="007611FC"/>
    <w:pPr>
      <w:spacing w:after="0" w:line="240" w:lineRule="auto"/>
      <w:jc w:val="both"/>
    </w:pPr>
    <w:rPr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3D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0849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D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084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Bolk</dc:creator>
  <cp:keywords/>
  <dc:description/>
  <cp:lastModifiedBy>Maud Oomen</cp:lastModifiedBy>
  <cp:revision>4</cp:revision>
  <dcterms:created xsi:type="dcterms:W3CDTF">2020-01-22T09:52:00Z</dcterms:created>
  <dcterms:modified xsi:type="dcterms:W3CDTF">2020-02-25T09:50:00Z</dcterms:modified>
</cp:coreProperties>
</file>