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16CF" w14:textId="77777777" w:rsidR="00F146B9" w:rsidRPr="009D49A5" w:rsidRDefault="00F146B9" w:rsidP="001F0A55">
      <w:pPr>
        <w:spacing w:after="0"/>
        <w:ind w:right="1"/>
        <w:rPr>
          <w:rFonts w:ascii="Arial" w:hAnsi="Arial" w:cs="Arial"/>
          <w:sz w:val="20"/>
          <w:szCs w:val="20"/>
        </w:rPr>
      </w:pPr>
    </w:p>
    <w:p w14:paraId="4A0169C6" w14:textId="131A42FA" w:rsidR="00D67054" w:rsidRPr="009D49A5" w:rsidRDefault="00D67054" w:rsidP="001F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ind w:right="1"/>
        <w:rPr>
          <w:rFonts w:ascii="Arial" w:hAnsi="Arial" w:cs="Arial"/>
        </w:rPr>
      </w:pPr>
      <w:r w:rsidRPr="009D49A5">
        <w:rPr>
          <w:rFonts w:ascii="Arial" w:hAnsi="Arial" w:cs="Arial"/>
          <w:b/>
          <w:sz w:val="24"/>
          <w:szCs w:val="24"/>
        </w:rPr>
        <w:t>Jaar</w:t>
      </w:r>
      <w:r w:rsidR="001F0A55" w:rsidRPr="009D49A5">
        <w:rPr>
          <w:rFonts w:ascii="Arial" w:hAnsi="Arial" w:cs="Arial"/>
          <w:b/>
          <w:sz w:val="24"/>
          <w:szCs w:val="24"/>
        </w:rPr>
        <w:t>verslag</w:t>
      </w:r>
      <w:r w:rsidRPr="009D49A5">
        <w:rPr>
          <w:rFonts w:ascii="Arial" w:hAnsi="Arial" w:cs="Arial"/>
          <w:b/>
          <w:sz w:val="24"/>
          <w:szCs w:val="24"/>
        </w:rPr>
        <w:t xml:space="preserve"> 202</w:t>
      </w:r>
      <w:r w:rsidR="007C770C">
        <w:rPr>
          <w:rFonts w:ascii="Arial" w:hAnsi="Arial" w:cs="Arial"/>
          <w:b/>
          <w:sz w:val="24"/>
          <w:szCs w:val="24"/>
        </w:rPr>
        <w:t>2</w:t>
      </w:r>
      <w:r w:rsidRPr="009D49A5">
        <w:rPr>
          <w:rFonts w:ascii="Arial" w:hAnsi="Arial" w:cs="Arial"/>
          <w:b/>
          <w:sz w:val="24"/>
          <w:szCs w:val="24"/>
        </w:rPr>
        <w:t xml:space="preserve"> - Werkgroep </w:t>
      </w:r>
      <w:r w:rsidR="00F952E4">
        <w:rPr>
          <w:rFonts w:ascii="Arial" w:hAnsi="Arial" w:cs="Arial"/>
          <w:b/>
          <w:sz w:val="24"/>
          <w:szCs w:val="24"/>
        </w:rPr>
        <w:t>WZR</w:t>
      </w:r>
    </w:p>
    <w:p w14:paraId="771EF5C5" w14:textId="77777777" w:rsidR="00D67054" w:rsidRPr="009D49A5" w:rsidRDefault="00D67054" w:rsidP="001F0A55">
      <w:pPr>
        <w:spacing w:after="0"/>
        <w:ind w:right="1"/>
        <w:rPr>
          <w:rFonts w:ascii="Arial" w:hAnsi="Arial" w:cs="Arial"/>
          <w:sz w:val="20"/>
          <w:szCs w:val="20"/>
        </w:rPr>
      </w:pPr>
    </w:p>
    <w:p w14:paraId="0EBC7072" w14:textId="5D875F08" w:rsidR="00D67054" w:rsidRPr="00AB0F07" w:rsidRDefault="00D67054" w:rsidP="001F0A55">
      <w:pPr>
        <w:spacing w:after="0"/>
        <w:ind w:right="1"/>
        <w:rPr>
          <w:rFonts w:ascii="Arial" w:hAnsi="Arial" w:cs="Arial"/>
          <w:i/>
          <w:iCs/>
          <w:sz w:val="20"/>
          <w:szCs w:val="20"/>
        </w:rPr>
      </w:pPr>
      <w:r w:rsidRPr="00AB0F07">
        <w:rPr>
          <w:rFonts w:ascii="Arial" w:hAnsi="Arial" w:cs="Arial"/>
          <w:i/>
          <w:iCs/>
          <w:sz w:val="20"/>
          <w:szCs w:val="20"/>
        </w:rPr>
        <w:t>Hieronder treft u voor de verschillende onderwerpen ruimte om de realisatie van de beoogde doelen en voorgenomen acties -die de werkgroep aan het begin van het jaar gepland heeft- te beschrijven.</w:t>
      </w:r>
    </w:p>
    <w:p w14:paraId="253F257E" w14:textId="77777777" w:rsidR="001F0A55" w:rsidRPr="00AB0F07" w:rsidRDefault="00D67054" w:rsidP="001F0A55">
      <w:pPr>
        <w:spacing w:after="0"/>
        <w:ind w:right="1"/>
        <w:rPr>
          <w:rFonts w:ascii="Arial" w:hAnsi="Arial" w:cs="Arial"/>
          <w:i/>
          <w:iCs/>
          <w:sz w:val="20"/>
          <w:szCs w:val="20"/>
        </w:rPr>
      </w:pPr>
      <w:r w:rsidRPr="00AB0F07">
        <w:rPr>
          <w:rFonts w:ascii="Arial" w:hAnsi="Arial" w:cs="Arial"/>
          <w:i/>
          <w:iCs/>
          <w:sz w:val="20"/>
          <w:szCs w:val="20"/>
        </w:rPr>
        <w:t xml:space="preserve">Beschrijf voor het afgelopen jaar kort de doelen en acties, voor zover mogelijk. </w:t>
      </w:r>
      <w:r w:rsidR="001F0A55" w:rsidRPr="00AB0F07">
        <w:rPr>
          <w:rFonts w:ascii="Arial" w:hAnsi="Arial" w:cs="Arial"/>
          <w:i/>
          <w:iCs/>
          <w:sz w:val="20"/>
          <w:szCs w:val="20"/>
        </w:rPr>
        <w:t>Schrijf daarna iets over de realisatie daarvan, en de realisatie van niet geplande doelen en acties.</w:t>
      </w:r>
    </w:p>
    <w:p w14:paraId="3AC19C58" w14:textId="739138DB" w:rsidR="00534582" w:rsidRPr="009D49A5" w:rsidRDefault="00D67054" w:rsidP="001F0A55">
      <w:pPr>
        <w:spacing w:after="0"/>
        <w:ind w:right="1"/>
        <w:rPr>
          <w:rFonts w:ascii="Arial" w:hAnsi="Arial" w:cs="Arial"/>
          <w:sz w:val="20"/>
          <w:szCs w:val="20"/>
        </w:rPr>
      </w:pPr>
      <w:r w:rsidRPr="00AB0F07">
        <w:rPr>
          <w:rFonts w:ascii="Arial" w:hAnsi="Arial" w:cs="Arial"/>
          <w:i/>
          <w:iCs/>
          <w:sz w:val="20"/>
          <w:szCs w:val="20"/>
        </w:rPr>
        <w:t>Misschien wilt u eerst in het algemeen iets over het afgelopen jaar schrijven, zodat dat niet bij alle onderwerpen apart aan bod hoeft te komen</w:t>
      </w:r>
      <w:r w:rsidRPr="009D49A5">
        <w:rPr>
          <w:rFonts w:ascii="Arial" w:hAnsi="Arial" w:cs="Arial"/>
          <w:sz w:val="20"/>
          <w:szCs w:val="20"/>
        </w:rPr>
        <w:t>.</w:t>
      </w:r>
    </w:p>
    <w:p w14:paraId="4F8FED1B" w14:textId="5F87F80D" w:rsidR="00D67054" w:rsidRPr="009D49A5" w:rsidRDefault="00D67054" w:rsidP="001F0A55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14:paraId="7E44035B" w14:textId="23792BDA" w:rsidR="00D67054" w:rsidRPr="009D49A5" w:rsidRDefault="00D67054" w:rsidP="001F0A55">
      <w:pPr>
        <w:spacing w:after="0"/>
        <w:ind w:right="1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Algemeen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F0A55" w:rsidRPr="009D49A5" w14:paraId="11A12BB5" w14:textId="77777777" w:rsidTr="001F0A55">
        <w:tc>
          <w:tcPr>
            <w:tcW w:w="10204" w:type="dxa"/>
          </w:tcPr>
          <w:p w14:paraId="4DA73665" w14:textId="77777777" w:rsidR="001F0A55" w:rsidRPr="00AB0F07" w:rsidRDefault="001F0A55" w:rsidP="001F0A55">
            <w:pPr>
              <w:ind w:right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2D2738" w14:textId="4C665F4D" w:rsidR="001F0A55" w:rsidRDefault="00AB0F07" w:rsidP="001F0A55">
            <w:pPr>
              <w:ind w:right="1"/>
              <w:rPr>
                <w:rFonts w:ascii="Arial" w:hAnsi="Arial" w:cs="Arial"/>
                <w:bCs/>
                <w:sz w:val="20"/>
                <w:szCs w:val="20"/>
              </w:rPr>
            </w:pPr>
            <w:r w:rsidRPr="00AB0F07">
              <w:rPr>
                <w:rFonts w:ascii="Arial" w:hAnsi="Arial" w:cs="Arial"/>
                <w:bCs/>
                <w:sz w:val="20"/>
                <w:szCs w:val="20"/>
              </w:rPr>
              <w:t>De WZR heeft in 2022 haar werkwijze verder geoptimaliseerd. Aan de hand van het nieuwe 2-jaarplan is een onderverdeling gemaakt in taken,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en</w:t>
            </w:r>
            <w:r w:rsidRPr="00AB0F07">
              <w:rPr>
                <w:rFonts w:ascii="Arial" w:hAnsi="Arial" w:cs="Arial"/>
                <w:bCs/>
                <w:sz w:val="20"/>
                <w:szCs w:val="20"/>
              </w:rPr>
              <w:t xml:space="preserve"> de leden hebben zich in subgroepen verzameld per categorie taken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Er was een hogere frequentie van samenkomen dan in eerdere jaren met 4 werkgroepvergaderingen waarvan 3 digitaal, twee fysieke themamiddagen en een workshop op het DCRM. De doelen zoals gesteld in het 2-jaarplan voor 2022 zijn niet allemaal behaald, wat zeker deels te wijten is aan de nieuwe werkwijze en de nog suboptimale planmatige begeleiding/ondersteuning. </w:t>
            </w:r>
          </w:p>
          <w:p w14:paraId="74EBB58F" w14:textId="3DC0092F" w:rsidR="00AB0F07" w:rsidRPr="009D49A5" w:rsidRDefault="00AB0F07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A94089B" w14:textId="5AC3EB94" w:rsidR="00D67054" w:rsidRPr="009D49A5" w:rsidRDefault="00D67054" w:rsidP="001F0A55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14:paraId="293164A9" w14:textId="77777777" w:rsidR="001F0A55" w:rsidRPr="009D49A5" w:rsidRDefault="001F0A55" w:rsidP="001F0A55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14:paraId="3097BDFA" w14:textId="77777777" w:rsidR="00F51C19" w:rsidRPr="009D49A5" w:rsidRDefault="00CC4D9E" w:rsidP="001F0A55">
      <w:pPr>
        <w:spacing w:after="0" w:line="240" w:lineRule="auto"/>
        <w:ind w:right="1"/>
        <w:rPr>
          <w:rFonts w:ascii="Arial" w:hAnsi="Arial" w:cs="Arial"/>
          <w:b/>
          <w:iCs/>
          <w:sz w:val="24"/>
          <w:szCs w:val="24"/>
        </w:rPr>
      </w:pPr>
      <w:r w:rsidRPr="009D49A5">
        <w:rPr>
          <w:rFonts w:ascii="Arial" w:hAnsi="Arial" w:cs="Arial"/>
          <w:b/>
          <w:iCs/>
          <w:sz w:val="24"/>
          <w:szCs w:val="24"/>
        </w:rPr>
        <w:t>B</w:t>
      </w:r>
      <w:r w:rsidR="00F51C19" w:rsidRPr="009D49A5">
        <w:rPr>
          <w:rFonts w:ascii="Arial" w:hAnsi="Arial" w:cs="Arial"/>
          <w:b/>
          <w:iCs/>
          <w:sz w:val="24"/>
          <w:szCs w:val="24"/>
        </w:rPr>
        <w:t>estuurssamenstelling</w:t>
      </w:r>
    </w:p>
    <w:p w14:paraId="245F9BA6" w14:textId="49A1CE0C" w:rsidR="00F51C19" w:rsidRPr="009D49A5" w:rsidRDefault="001F0A55" w:rsidP="001F0A55">
      <w:pPr>
        <w:spacing w:after="0" w:line="240" w:lineRule="auto"/>
        <w:ind w:right="1"/>
        <w:rPr>
          <w:rFonts w:ascii="Arial" w:hAnsi="Arial" w:cs="Arial"/>
          <w:i/>
          <w:sz w:val="20"/>
          <w:szCs w:val="20"/>
        </w:rPr>
      </w:pPr>
      <w:r w:rsidRPr="009D49A5">
        <w:rPr>
          <w:rFonts w:ascii="Arial" w:hAnsi="Arial" w:cs="Arial"/>
          <w:i/>
          <w:sz w:val="20"/>
          <w:szCs w:val="20"/>
        </w:rPr>
        <w:t>H</w:t>
      </w:r>
      <w:r w:rsidR="00934A73" w:rsidRPr="009D49A5">
        <w:rPr>
          <w:rFonts w:ascii="Arial" w:hAnsi="Arial" w:cs="Arial"/>
          <w:i/>
          <w:sz w:val="20"/>
          <w:szCs w:val="20"/>
        </w:rPr>
        <w:t>ier alleen samenstelling bestuur per 1/1/20</w:t>
      </w:r>
      <w:r w:rsidR="001F14F4" w:rsidRPr="009D49A5">
        <w:rPr>
          <w:rFonts w:ascii="Arial" w:hAnsi="Arial" w:cs="Arial"/>
          <w:i/>
          <w:sz w:val="20"/>
          <w:szCs w:val="20"/>
        </w:rPr>
        <w:t>2</w:t>
      </w:r>
      <w:r w:rsidR="007C770C">
        <w:rPr>
          <w:rFonts w:ascii="Arial" w:hAnsi="Arial" w:cs="Arial"/>
          <w:i/>
          <w:sz w:val="20"/>
          <w:szCs w:val="20"/>
        </w:rPr>
        <w:t>2</w:t>
      </w:r>
      <w:r w:rsidR="00934A73" w:rsidRPr="009D49A5">
        <w:rPr>
          <w:rFonts w:ascii="Arial" w:hAnsi="Arial" w:cs="Arial"/>
          <w:i/>
          <w:sz w:val="20"/>
          <w:szCs w:val="20"/>
        </w:rPr>
        <w:t xml:space="preserve"> en wisselingen gaande het jaar 20</w:t>
      </w:r>
      <w:r w:rsidR="001F14F4" w:rsidRPr="009D49A5">
        <w:rPr>
          <w:rFonts w:ascii="Arial" w:hAnsi="Arial" w:cs="Arial"/>
          <w:i/>
          <w:sz w:val="20"/>
          <w:szCs w:val="20"/>
        </w:rPr>
        <w:t>2</w:t>
      </w:r>
      <w:r w:rsidR="007C770C">
        <w:rPr>
          <w:rFonts w:ascii="Arial" w:hAnsi="Arial" w:cs="Arial"/>
          <w:i/>
          <w:sz w:val="20"/>
          <w:szCs w:val="20"/>
        </w:rPr>
        <w:t>2</w:t>
      </w:r>
      <w:r w:rsidR="00934A73" w:rsidRPr="009D49A5">
        <w:rPr>
          <w:rFonts w:ascii="Arial" w:hAnsi="Arial" w:cs="Arial"/>
          <w:i/>
          <w:sz w:val="20"/>
          <w:szCs w:val="20"/>
        </w:rPr>
        <w:t>. D</w:t>
      </w:r>
      <w:r w:rsidR="009862AB" w:rsidRPr="009D49A5">
        <w:rPr>
          <w:rFonts w:ascii="Arial" w:hAnsi="Arial" w:cs="Arial"/>
          <w:i/>
          <w:sz w:val="20"/>
          <w:szCs w:val="20"/>
        </w:rPr>
        <w:t>e g</w:t>
      </w:r>
      <w:r w:rsidR="00CC4D9E" w:rsidRPr="009D49A5">
        <w:rPr>
          <w:rFonts w:ascii="Arial" w:hAnsi="Arial" w:cs="Arial"/>
          <w:i/>
          <w:sz w:val="20"/>
          <w:szCs w:val="20"/>
        </w:rPr>
        <w:t xml:space="preserve">ehele ledenlijst invullen </w:t>
      </w:r>
      <w:r w:rsidR="00175740" w:rsidRPr="009D49A5">
        <w:rPr>
          <w:rFonts w:ascii="Arial" w:hAnsi="Arial" w:cs="Arial"/>
          <w:i/>
          <w:sz w:val="20"/>
          <w:szCs w:val="20"/>
        </w:rPr>
        <w:t>op</w:t>
      </w:r>
      <w:r w:rsidR="00CC4D9E" w:rsidRPr="009D49A5">
        <w:rPr>
          <w:rFonts w:ascii="Arial" w:hAnsi="Arial" w:cs="Arial"/>
          <w:i/>
          <w:sz w:val="20"/>
          <w:szCs w:val="20"/>
        </w:rPr>
        <w:t xml:space="preserve"> </w:t>
      </w:r>
      <w:r w:rsidR="001C7975" w:rsidRPr="009D49A5">
        <w:rPr>
          <w:rFonts w:ascii="Arial" w:hAnsi="Arial" w:cs="Arial"/>
          <w:i/>
          <w:sz w:val="20"/>
          <w:szCs w:val="20"/>
        </w:rPr>
        <w:t xml:space="preserve">apart format Ledenlijst </w:t>
      </w:r>
      <w:r w:rsidR="00CC4D9E" w:rsidRPr="009D49A5">
        <w:rPr>
          <w:rFonts w:ascii="Arial" w:hAnsi="Arial" w:cs="Arial"/>
          <w:i/>
          <w:sz w:val="20"/>
          <w:szCs w:val="20"/>
        </w:rPr>
        <w:t>werkgroep</w:t>
      </w:r>
      <w:r w:rsidRPr="009D49A5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18"/>
        <w:gridCol w:w="7836"/>
      </w:tblGrid>
      <w:tr w:rsidR="001F0A55" w:rsidRPr="009D49A5" w14:paraId="54760994" w14:textId="4937BCC6" w:rsidTr="001F0A55">
        <w:tc>
          <w:tcPr>
            <w:tcW w:w="2235" w:type="dxa"/>
          </w:tcPr>
          <w:p w14:paraId="77A6C8E6" w14:textId="6C4A21B9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Voorzitter:</w:t>
            </w:r>
          </w:p>
        </w:tc>
        <w:tc>
          <w:tcPr>
            <w:tcW w:w="8045" w:type="dxa"/>
          </w:tcPr>
          <w:p w14:paraId="7A51E4CD" w14:textId="546F445E" w:rsidR="001F0A55" w:rsidRPr="009D49A5" w:rsidRDefault="00F952E4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Esther Kruitwagen</w:t>
            </w:r>
          </w:p>
        </w:tc>
      </w:tr>
      <w:tr w:rsidR="001F0A55" w:rsidRPr="009D49A5" w14:paraId="0EC4F509" w14:textId="77777777" w:rsidTr="001F0A55">
        <w:tc>
          <w:tcPr>
            <w:tcW w:w="2235" w:type="dxa"/>
          </w:tcPr>
          <w:p w14:paraId="17EEBB8D" w14:textId="0DB00CE9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Secretaris:</w:t>
            </w:r>
          </w:p>
        </w:tc>
        <w:tc>
          <w:tcPr>
            <w:tcW w:w="8045" w:type="dxa"/>
          </w:tcPr>
          <w:p w14:paraId="3C9DDA1A" w14:textId="47BB8FD3" w:rsidR="001F0A55" w:rsidRPr="009D49A5" w:rsidRDefault="00F952E4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Chantal Bakker</w:t>
            </w:r>
          </w:p>
        </w:tc>
      </w:tr>
      <w:tr w:rsidR="001F0A55" w:rsidRPr="009D49A5" w14:paraId="577802FC" w14:textId="77777777" w:rsidTr="001F0A55">
        <w:tc>
          <w:tcPr>
            <w:tcW w:w="2235" w:type="dxa"/>
          </w:tcPr>
          <w:p w14:paraId="6C99A429" w14:textId="4CA93AE1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Penningmeester:</w:t>
            </w:r>
          </w:p>
        </w:tc>
        <w:tc>
          <w:tcPr>
            <w:tcW w:w="8045" w:type="dxa"/>
          </w:tcPr>
          <w:p w14:paraId="5D3BBABE" w14:textId="33A04488" w:rsidR="001F0A55" w:rsidRPr="009D49A5" w:rsidRDefault="00F952E4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Rik van Ingen</w:t>
            </w:r>
          </w:p>
        </w:tc>
      </w:tr>
      <w:tr w:rsidR="001F0A55" w:rsidRPr="009D49A5" w14:paraId="3F3831FE" w14:textId="77777777" w:rsidTr="001F0A55">
        <w:tc>
          <w:tcPr>
            <w:tcW w:w="2235" w:type="dxa"/>
          </w:tcPr>
          <w:p w14:paraId="624E4D6D" w14:textId="03764BE4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Overige leden:</w:t>
            </w:r>
          </w:p>
        </w:tc>
        <w:tc>
          <w:tcPr>
            <w:tcW w:w="8045" w:type="dxa"/>
          </w:tcPr>
          <w:p w14:paraId="70FD4475" w14:textId="77777777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F0A55" w:rsidRPr="009D49A5" w14:paraId="77E7B4F2" w14:textId="77777777" w:rsidTr="001F0A55">
        <w:tc>
          <w:tcPr>
            <w:tcW w:w="2235" w:type="dxa"/>
          </w:tcPr>
          <w:p w14:paraId="2F420624" w14:textId="64E69ADF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Wisselingen:</w:t>
            </w:r>
          </w:p>
        </w:tc>
        <w:tc>
          <w:tcPr>
            <w:tcW w:w="8045" w:type="dxa"/>
          </w:tcPr>
          <w:p w14:paraId="12F263B4" w14:textId="321C3FD8" w:rsidR="001F0A55" w:rsidRPr="009D49A5" w:rsidRDefault="007C770C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Per 01-01-2023 penningmeester Selma Schut</w:t>
            </w:r>
          </w:p>
        </w:tc>
      </w:tr>
    </w:tbl>
    <w:p w14:paraId="483A0B50" w14:textId="77777777" w:rsidR="001F0A55" w:rsidRPr="009D49A5" w:rsidRDefault="001F0A55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577BA94C" w14:textId="77777777" w:rsidR="00F51C19" w:rsidRPr="009D49A5" w:rsidRDefault="00F51C19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3E1AB70E" w14:textId="77777777" w:rsidR="00F51C19" w:rsidRPr="009D49A5" w:rsidRDefault="008938F7" w:rsidP="001F0A55">
      <w:pPr>
        <w:spacing w:after="0" w:line="240" w:lineRule="auto"/>
        <w:ind w:right="1"/>
        <w:rPr>
          <w:rFonts w:ascii="Arial" w:hAnsi="Arial" w:cs="Arial"/>
          <w:b/>
          <w:iCs/>
          <w:sz w:val="24"/>
          <w:szCs w:val="24"/>
        </w:rPr>
      </w:pPr>
      <w:r w:rsidRPr="009D49A5">
        <w:rPr>
          <w:rFonts w:ascii="Arial" w:hAnsi="Arial" w:cs="Arial"/>
          <w:b/>
          <w:iCs/>
          <w:sz w:val="24"/>
          <w:szCs w:val="24"/>
        </w:rPr>
        <w:t>Vergaderingen afgelopen jaar</w:t>
      </w:r>
    </w:p>
    <w:p w14:paraId="7E00EAA2" w14:textId="041917B8" w:rsidR="00835F6D" w:rsidRPr="009D49A5" w:rsidRDefault="009862AB" w:rsidP="001F0A55">
      <w:pPr>
        <w:spacing w:after="0" w:line="240" w:lineRule="auto"/>
        <w:ind w:right="1"/>
        <w:rPr>
          <w:rFonts w:ascii="Arial" w:hAnsi="Arial" w:cs="Arial"/>
          <w:i/>
          <w:sz w:val="20"/>
          <w:szCs w:val="20"/>
        </w:rPr>
      </w:pPr>
      <w:r w:rsidRPr="009D49A5">
        <w:rPr>
          <w:rFonts w:ascii="Arial" w:hAnsi="Arial" w:cs="Arial"/>
          <w:i/>
          <w:sz w:val="20"/>
          <w:szCs w:val="20"/>
        </w:rPr>
        <w:t>Aantal vergaderingen en aangevuld met wetenschappelijke bijeenkomsten (hoeveel</w:t>
      </w:r>
      <w:r w:rsidR="007A6DA4" w:rsidRPr="009D49A5">
        <w:rPr>
          <w:rFonts w:ascii="Arial" w:hAnsi="Arial" w:cs="Arial"/>
          <w:i/>
          <w:sz w:val="20"/>
          <w:szCs w:val="20"/>
        </w:rPr>
        <w:t xml:space="preserve"> </w:t>
      </w:r>
      <w:r w:rsidRPr="009D49A5">
        <w:rPr>
          <w:rFonts w:ascii="Arial" w:hAnsi="Arial" w:cs="Arial"/>
          <w:i/>
          <w:sz w:val="20"/>
          <w:szCs w:val="20"/>
        </w:rPr>
        <w:t>/ welke thema’s)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8"/>
        <w:gridCol w:w="7826"/>
      </w:tblGrid>
      <w:tr w:rsidR="001F0A55" w:rsidRPr="009D49A5" w14:paraId="6DE12315" w14:textId="77777777" w:rsidTr="001F0A55">
        <w:tc>
          <w:tcPr>
            <w:tcW w:w="2235" w:type="dxa"/>
          </w:tcPr>
          <w:p w14:paraId="65DA1D56" w14:textId="2D42B464" w:rsidR="001F0A55" w:rsidRPr="009D49A5" w:rsidRDefault="001F0A55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Vergaderingen</w:t>
            </w:r>
          </w:p>
        </w:tc>
        <w:tc>
          <w:tcPr>
            <w:tcW w:w="7969" w:type="dxa"/>
          </w:tcPr>
          <w:p w14:paraId="7BA46C71" w14:textId="05921768" w:rsidR="009D49A5" w:rsidRPr="009D49A5" w:rsidRDefault="007C770C" w:rsidP="007C770C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01-04-2022; 24-06-2022; 16-09-2022; 15-11-2022</w:t>
            </w:r>
          </w:p>
        </w:tc>
      </w:tr>
      <w:tr w:rsidR="001F0A55" w:rsidRPr="009D49A5" w14:paraId="0D026980" w14:textId="77777777" w:rsidTr="001F0A55">
        <w:tc>
          <w:tcPr>
            <w:tcW w:w="2235" w:type="dxa"/>
          </w:tcPr>
          <w:p w14:paraId="710BDC87" w14:textId="2FF9FB53" w:rsidR="001F0A55" w:rsidRPr="009D49A5" w:rsidRDefault="001F0A55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Wetenschappelijke bijeenkomsten</w:t>
            </w:r>
          </w:p>
        </w:tc>
        <w:tc>
          <w:tcPr>
            <w:tcW w:w="7969" w:type="dxa"/>
          </w:tcPr>
          <w:p w14:paraId="6F1829A4" w14:textId="37EF5A90" w:rsidR="009D49A5" w:rsidRPr="009D49A5" w:rsidRDefault="007C770C" w:rsidP="007C770C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07-10-2022 Themamiddag amputatie onderste extremiteit </w:t>
            </w:r>
          </w:p>
        </w:tc>
      </w:tr>
    </w:tbl>
    <w:p w14:paraId="04365126" w14:textId="77777777" w:rsidR="009862AB" w:rsidRPr="009D49A5" w:rsidRDefault="009862AB" w:rsidP="001F0A55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</w:p>
    <w:p w14:paraId="32D3E1DE" w14:textId="77777777" w:rsidR="00007FDE" w:rsidRPr="009D49A5" w:rsidRDefault="00007FDE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058CCAEF" w14:textId="3FB41551" w:rsidR="008938F7" w:rsidRPr="009D49A5" w:rsidRDefault="00534582" w:rsidP="001F0A55">
      <w:pPr>
        <w:spacing w:after="0" w:line="240" w:lineRule="auto"/>
        <w:ind w:right="1"/>
        <w:rPr>
          <w:rFonts w:ascii="Arial" w:hAnsi="Arial" w:cs="Arial"/>
          <w:b/>
          <w:i/>
          <w:sz w:val="20"/>
          <w:szCs w:val="20"/>
        </w:rPr>
      </w:pPr>
      <w:r w:rsidRPr="009D49A5">
        <w:rPr>
          <w:rFonts w:ascii="Arial" w:hAnsi="Arial" w:cs="Arial"/>
          <w:b/>
          <w:iCs/>
          <w:sz w:val="24"/>
          <w:szCs w:val="24"/>
        </w:rPr>
        <w:t>Kwaliteit</w:t>
      </w:r>
    </w:p>
    <w:p w14:paraId="7AA2987E" w14:textId="3105A83C" w:rsidR="001F0A55" w:rsidRPr="009D49A5" w:rsidRDefault="001F0A55" w:rsidP="001F0A55">
      <w:pPr>
        <w:tabs>
          <w:tab w:val="left" w:pos="10773"/>
        </w:tabs>
        <w:spacing w:after="0"/>
        <w:ind w:right="1"/>
        <w:rPr>
          <w:rFonts w:ascii="Arial" w:hAnsi="Arial" w:cs="Arial"/>
          <w:i/>
          <w:sz w:val="20"/>
          <w:szCs w:val="20"/>
        </w:rPr>
      </w:pPr>
      <w:r w:rsidRPr="009D49A5">
        <w:rPr>
          <w:rFonts w:ascii="Arial" w:hAnsi="Arial" w:cs="Arial"/>
          <w:i/>
          <w:sz w:val="20"/>
          <w:szCs w:val="20"/>
        </w:rPr>
        <w:t>Denk aan: Richtlijnen, behandelkaders, zorgstandaarden; Afstemmen behandelprogramma’s; Behandelmodules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67054" w:rsidRPr="009D49A5" w14:paraId="1407E86B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70915F74" w14:textId="77777777" w:rsidR="00D67054" w:rsidRPr="009D49A5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D67054" w:rsidRPr="009D49A5" w14:paraId="4ECF71AB" w14:textId="77777777" w:rsidTr="001F0A55">
        <w:tc>
          <w:tcPr>
            <w:tcW w:w="10314" w:type="dxa"/>
          </w:tcPr>
          <w:p w14:paraId="2AEBA519" w14:textId="77777777" w:rsidR="000E57FF" w:rsidRDefault="000E57FF" w:rsidP="000E57F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WZR faciliteert het lokaal implementeren van zorginhoudelijke info van diagnosegebonden VRA werkgroepen in het ziekenhuis</w:t>
            </w:r>
          </w:p>
          <w:p w14:paraId="192A2811" w14:textId="77777777" w:rsidR="000E57FF" w:rsidRDefault="000E57FF" w:rsidP="000E57F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WZR is via haar actieve leden betrokken bij de ontwikkeling/revisie/prioritering van relevante richtlijnen/ behandelkaders (ZRA perspectief opgenomen)</w:t>
            </w:r>
          </w:p>
          <w:p w14:paraId="14424EA3" w14:textId="77777777" w:rsidR="00D67054" w:rsidRPr="009D49A5" w:rsidRDefault="00D67054" w:rsidP="00BC02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7054" w:rsidRPr="009D49A5" w14:paraId="07FAB42D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07489EA4" w14:textId="77777777" w:rsidR="00D67054" w:rsidRPr="009D49A5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D67054" w:rsidRPr="009D49A5" w14:paraId="6E0C2541" w14:textId="77777777" w:rsidTr="001F0A55">
        <w:tc>
          <w:tcPr>
            <w:tcW w:w="10314" w:type="dxa"/>
          </w:tcPr>
          <w:p w14:paraId="59513E8F" w14:textId="77777777" w:rsidR="00BC0232" w:rsidRDefault="00BC0232" w:rsidP="00BC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P7 vast format opstellen van beoordelen van richtlijnen, modules en behandelkaders: tevens plan voor terugkoppeling van de beoordeling aan vakinhoudelijke werkgroep en betrokken andere zorgverleners</w:t>
            </w:r>
          </w:p>
          <w:p w14:paraId="1CD9E64B" w14:textId="77777777" w:rsidR="00BC0232" w:rsidRDefault="00BC0232" w:rsidP="00BC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P9 inventariseren best practices voor lokale implementatie landelijke richtlijnen, modules en behandelkaders</w:t>
            </w:r>
          </w:p>
          <w:p w14:paraId="6E6485C3" w14:textId="77777777" w:rsidR="00BC0232" w:rsidRDefault="00BC0232" w:rsidP="00BC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P12 tool ontwikkelen voor implementatie van alle nieuwe richtlijnen, modules en behandelkaders in eigen ziekenhuis</w:t>
            </w:r>
          </w:p>
          <w:p w14:paraId="37DED779" w14:textId="77777777" w:rsidR="00D67054" w:rsidRPr="009D49A5" w:rsidRDefault="00D6705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59215023" w14:textId="77777777" w:rsidR="00D67054" w:rsidRPr="009D49A5" w:rsidRDefault="00D6705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54" w:rsidRPr="009D49A5" w14:paraId="4B290754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62FE26F2" w14:textId="7F8BE9AF" w:rsidR="00D67054" w:rsidRPr="009D49A5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Realisatie </w:t>
            </w:r>
            <w:r w:rsidR="001F0A55"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geplande doelen en acties</w:t>
            </w:r>
          </w:p>
        </w:tc>
      </w:tr>
      <w:tr w:rsidR="00D67054" w:rsidRPr="009D49A5" w14:paraId="5FEEE8FD" w14:textId="77777777" w:rsidTr="001F0A55">
        <w:tc>
          <w:tcPr>
            <w:tcW w:w="10314" w:type="dxa"/>
          </w:tcPr>
          <w:p w14:paraId="000AED33" w14:textId="2F824C89" w:rsidR="00D67054" w:rsidRPr="009D49A5" w:rsidRDefault="00D6705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3E3A5C2C" w14:textId="77777777" w:rsidR="00D67054" w:rsidRPr="009D49A5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0A55" w:rsidRPr="009D49A5" w14:paraId="4ACAD937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13E17179" w14:textId="3D3EC36F" w:rsidR="001F0A55" w:rsidRPr="009D49A5" w:rsidRDefault="001F0A55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Realisatie niet geplande doelen en acties</w:t>
            </w:r>
          </w:p>
        </w:tc>
      </w:tr>
      <w:tr w:rsidR="001F0A55" w:rsidRPr="009D49A5" w14:paraId="54BBEECB" w14:textId="77777777" w:rsidTr="001F0A55">
        <w:tc>
          <w:tcPr>
            <w:tcW w:w="10314" w:type="dxa"/>
          </w:tcPr>
          <w:p w14:paraId="3F882DB7" w14:textId="1CD229D5" w:rsidR="001F0A55" w:rsidRPr="009D49A5" w:rsidRDefault="001F0A55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5ADD7EC1" w14:textId="1F34B564" w:rsidR="00C61649" w:rsidRDefault="00C61649" w:rsidP="00C61649">
            <w:pPr>
              <w:ind w:right="1"/>
              <w:rPr>
                <w:rFonts w:cstheme="minorHAnsi"/>
                <w:sz w:val="24"/>
                <w:szCs w:val="24"/>
              </w:rPr>
            </w:pPr>
            <w:r w:rsidRPr="00275243">
              <w:rPr>
                <w:rFonts w:cstheme="minorHAnsi"/>
                <w:sz w:val="24"/>
                <w:szCs w:val="24"/>
              </w:rPr>
              <w:t>Het WZR bestuur nam deel aan het jaarlijkse VRA Overleg Diagnosegebonden Werkgroepen.</w:t>
            </w:r>
          </w:p>
          <w:p w14:paraId="441F78BF" w14:textId="59A0BBBC" w:rsidR="009844F1" w:rsidRDefault="009844F1" w:rsidP="00C61649">
            <w:pPr>
              <w:ind w:righ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Een delegatie uit de WZR nam deel aan de </w:t>
            </w:r>
            <w:r w:rsidRPr="009844F1">
              <w:rPr>
                <w:rFonts w:cstheme="minorHAnsi"/>
                <w:sz w:val="24"/>
                <w:szCs w:val="24"/>
              </w:rPr>
              <w:t>invitational conference Behandeling van Patiënten met Multimorbiditeit in het Ziekenhuis</w:t>
            </w:r>
            <w:r>
              <w:rPr>
                <w:rFonts w:cstheme="minorHAnsi"/>
                <w:sz w:val="24"/>
                <w:szCs w:val="24"/>
              </w:rPr>
              <w:t xml:space="preserve"> van de FMS.</w:t>
            </w:r>
          </w:p>
          <w:p w14:paraId="6FEBA1DF" w14:textId="08A431D5" w:rsidR="00930C2A" w:rsidRDefault="00930C2A" w:rsidP="00C61649">
            <w:pPr>
              <w:ind w:righ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 WZR </w:t>
            </w:r>
            <w:r w:rsidR="007C770C">
              <w:rPr>
                <w:rFonts w:cstheme="minorHAnsi"/>
                <w:sz w:val="24"/>
                <w:szCs w:val="24"/>
              </w:rPr>
              <w:t xml:space="preserve">besprak de uitvoer van plantaire drukmetingen in </w:t>
            </w:r>
            <w:r w:rsidR="00926A09">
              <w:rPr>
                <w:rFonts w:cstheme="minorHAnsi"/>
                <w:sz w:val="24"/>
                <w:szCs w:val="24"/>
              </w:rPr>
              <w:t>het proces van drukontlasting diabetische ulcera door orthopedische schoenvoorzieningen en communiceert ongevraagd aan de VRA leden haar standpunt over de rol hiervan in de richtlijn Diabetische Voet.</w:t>
            </w:r>
          </w:p>
          <w:p w14:paraId="1E1876F2" w14:textId="6BCE9D44" w:rsidR="00926A09" w:rsidRDefault="00926A09" w:rsidP="00C61649">
            <w:pPr>
              <w:ind w:righ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 WR adviseerde secundaire betrokkenheid door de VRA bij de </w:t>
            </w:r>
            <w:r w:rsidRPr="00926A09">
              <w:rPr>
                <w:rFonts w:cstheme="minorHAnsi"/>
                <w:sz w:val="24"/>
                <w:szCs w:val="24"/>
              </w:rPr>
              <w:t xml:space="preserve">adhesieverzoeken </w:t>
            </w:r>
            <w:r>
              <w:rPr>
                <w:rFonts w:cstheme="minorHAnsi"/>
                <w:sz w:val="24"/>
                <w:szCs w:val="24"/>
              </w:rPr>
              <w:t xml:space="preserve">SKMS </w:t>
            </w:r>
            <w:r w:rsidRPr="00926A09">
              <w:rPr>
                <w:rFonts w:cstheme="minorHAnsi"/>
                <w:sz w:val="24"/>
                <w:szCs w:val="24"/>
              </w:rPr>
              <w:t>zorgpad kwetsbare ouderen met hartfalen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926A09">
              <w:rPr>
                <w:rFonts w:cstheme="minorHAnsi"/>
                <w:sz w:val="24"/>
                <w:szCs w:val="24"/>
              </w:rPr>
              <w:t xml:space="preserve">en </w:t>
            </w:r>
            <w:r>
              <w:rPr>
                <w:rFonts w:cstheme="minorHAnsi"/>
                <w:sz w:val="24"/>
                <w:szCs w:val="24"/>
              </w:rPr>
              <w:t xml:space="preserve">SKMS project </w:t>
            </w:r>
            <w:r w:rsidRPr="00926A09">
              <w:rPr>
                <w:rFonts w:cstheme="minorHAnsi"/>
                <w:sz w:val="24"/>
                <w:szCs w:val="24"/>
              </w:rPr>
              <w:t>cluster Laryngologie en de modulaire herziening van de richtlijnen Stemklachten en Orofaryngeale dysfagie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D0BE0FD" w14:textId="1A4C2E1D" w:rsidR="009A2ECD" w:rsidRDefault="009A2ECD" w:rsidP="00C61649">
            <w:pPr>
              <w:ind w:righ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 WZR heeft er</w:t>
            </w:r>
            <w:r w:rsidR="0092474A">
              <w:rPr>
                <w:rFonts w:cstheme="minorHAnsi"/>
                <w:sz w:val="24"/>
                <w:szCs w:val="24"/>
              </w:rPr>
              <w:t xml:space="preserve"> na beraad </w:t>
            </w:r>
            <w:r>
              <w:rPr>
                <w:rFonts w:cstheme="minorHAnsi"/>
                <w:sz w:val="24"/>
                <w:szCs w:val="24"/>
              </w:rPr>
              <w:t xml:space="preserve">voor gekozen geen input te leveren voor de volgende onderwerpen: </w:t>
            </w:r>
            <w:r w:rsidR="00926A09">
              <w:rPr>
                <w:rFonts w:cstheme="minorHAnsi"/>
                <w:sz w:val="24"/>
                <w:szCs w:val="24"/>
              </w:rPr>
              <w:t>tweede ronde normenkader respiratory care unit, richtlijn Raynaud</w:t>
            </w:r>
            <w:r w:rsidR="009844F1">
              <w:rPr>
                <w:rFonts w:cstheme="minorHAnsi"/>
                <w:sz w:val="24"/>
                <w:szCs w:val="24"/>
              </w:rPr>
              <w:t>, richtlijnen infectiepreventie</w:t>
            </w:r>
            <w:r w:rsidR="00926A09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7ED5376B" w14:textId="42685E65" w:rsidR="007F36D9" w:rsidRPr="007F36D9" w:rsidRDefault="007F36D9" w:rsidP="00571EA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875D04" w14:textId="493A405C" w:rsidR="008938F7" w:rsidRPr="009D49A5" w:rsidRDefault="008938F7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31083014" w14:textId="77777777" w:rsidR="008938F7" w:rsidRPr="009D49A5" w:rsidRDefault="008938F7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501B4A61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</w:rPr>
      </w:pPr>
      <w:r w:rsidRPr="009D49A5">
        <w:rPr>
          <w:rFonts w:ascii="Arial" w:hAnsi="Arial" w:cs="Arial"/>
          <w:b/>
          <w:sz w:val="24"/>
          <w:szCs w:val="24"/>
        </w:rPr>
        <w:t>Resultaatmeting</w:t>
      </w:r>
    </w:p>
    <w:p w14:paraId="1A3AFEA8" w14:textId="0A7B1AA6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Prestatie-indicatoren en meetinstrumenten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3FD49112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4482C3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3FB9FCE0" w14:textId="77777777" w:rsidTr="00F23CE2">
        <w:tc>
          <w:tcPr>
            <w:tcW w:w="10314" w:type="dxa"/>
          </w:tcPr>
          <w:p w14:paraId="46FB1385" w14:textId="77777777" w:rsidR="000E57FF" w:rsidRDefault="000E57FF" w:rsidP="000E57F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WZR heeft een overzicht van de verschillen tussen ZRA's in NL, tav oa dienstbetrekking, type instelling, activiteiten</w:t>
            </w:r>
          </w:p>
          <w:p w14:paraId="33DEF575" w14:textId="77777777" w:rsidR="000E57FF" w:rsidRDefault="000E57FF" w:rsidP="000E57F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WZR neemt het voortouw in zorgoptimalisatie op basis van de verschillen tussen organisatie van ZRA praktijken die in kwaliteitsvisitaties worden gesignaleerd</w:t>
            </w:r>
          </w:p>
          <w:p w14:paraId="79795B8C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39DE568D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D26F052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232DDDA8" w14:textId="77777777" w:rsidTr="00F23CE2">
        <w:tc>
          <w:tcPr>
            <w:tcW w:w="10314" w:type="dxa"/>
          </w:tcPr>
          <w:p w14:paraId="21AB341E" w14:textId="55A4B046" w:rsidR="009D49A5" w:rsidRPr="009D49A5" w:rsidRDefault="00BC0232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844F1">
              <w:rPr>
                <w:rFonts w:cstheme="minorHAnsi"/>
                <w:sz w:val="24"/>
                <w:szCs w:val="24"/>
              </w:rPr>
              <w:t>P22 meetinstrumenten ziekenhuisrevalidatie zijn opgenomen in revalidatieregister/revalidatie impact</w:t>
            </w:r>
          </w:p>
          <w:p w14:paraId="3FFB350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759BCE67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19D2B88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117EC8B4" w14:textId="77777777" w:rsidTr="00F23CE2">
        <w:tc>
          <w:tcPr>
            <w:tcW w:w="10314" w:type="dxa"/>
          </w:tcPr>
          <w:p w14:paraId="318D36DF" w14:textId="4C918FC0" w:rsidR="009D49A5" w:rsidRPr="009844F1" w:rsidRDefault="009844F1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Presentatie </w:t>
            </w:r>
            <w:r w:rsidRPr="009844F1">
              <w:rPr>
                <w:rFonts w:ascii="Arial" w:hAnsi="Arial" w:cs="Arial"/>
                <w:sz w:val="20"/>
                <w:szCs w:val="20"/>
              </w:rPr>
              <w:t xml:space="preserve">Stichting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844F1">
              <w:rPr>
                <w:rFonts w:ascii="Arial" w:hAnsi="Arial" w:cs="Arial"/>
                <w:sz w:val="20"/>
                <w:szCs w:val="20"/>
              </w:rPr>
              <w:t xml:space="preserve">evalidatie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844F1">
              <w:rPr>
                <w:rFonts w:ascii="Arial" w:hAnsi="Arial" w:cs="Arial"/>
                <w:sz w:val="20"/>
                <w:szCs w:val="20"/>
              </w:rPr>
              <w:t>mpact op de WZR vergadering, besproken welke rol deze meetinstrumenten</w:t>
            </w:r>
            <w:r>
              <w:rPr>
                <w:rFonts w:ascii="Arial" w:hAnsi="Arial" w:cs="Arial"/>
                <w:sz w:val="20"/>
                <w:szCs w:val="20"/>
              </w:rPr>
              <w:t xml:space="preserve"> kunnen</w:t>
            </w:r>
            <w:r w:rsidRPr="009844F1">
              <w:rPr>
                <w:rFonts w:ascii="Arial" w:hAnsi="Arial" w:cs="Arial"/>
                <w:sz w:val="20"/>
                <w:szCs w:val="20"/>
              </w:rPr>
              <w:t xml:space="preserve"> spelen in de praktijk. Terugkoppeling wordt </w:t>
            </w:r>
            <w:r>
              <w:rPr>
                <w:rFonts w:ascii="Arial" w:hAnsi="Arial" w:cs="Arial"/>
                <w:sz w:val="20"/>
                <w:szCs w:val="20"/>
              </w:rPr>
              <w:t xml:space="preserve">nog </w:t>
            </w:r>
            <w:r w:rsidRPr="009844F1">
              <w:rPr>
                <w:rFonts w:ascii="Arial" w:hAnsi="Arial" w:cs="Arial"/>
                <w:sz w:val="20"/>
                <w:szCs w:val="20"/>
              </w:rPr>
              <w:t>opgehaald bij de achterban.</w:t>
            </w:r>
          </w:p>
        </w:tc>
      </w:tr>
      <w:tr w:rsidR="009D49A5" w:rsidRPr="009D49A5" w14:paraId="6C974032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47E66400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2FC6CF06" w14:textId="77777777" w:rsidTr="00F23CE2">
        <w:tc>
          <w:tcPr>
            <w:tcW w:w="10314" w:type="dxa"/>
          </w:tcPr>
          <w:p w14:paraId="0186A319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252B9CF9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1531BA5A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00DD79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313D6DAC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6C9B2467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Wetenschappelijke activiteiten</w:t>
      </w:r>
    </w:p>
    <w:p w14:paraId="16D08233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SKMS-projecten; Voordrachten, presentaties; Wetenschappelijk onderzoek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18FFCA55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CABE1BC" w14:textId="77777777" w:rsidR="009D49A5" w:rsidRPr="009D49A5" w:rsidRDefault="009D49A5" w:rsidP="009D49A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485CE0A4" w14:textId="77777777" w:rsidTr="00F23CE2">
        <w:tc>
          <w:tcPr>
            <w:tcW w:w="10314" w:type="dxa"/>
          </w:tcPr>
          <w:p w14:paraId="2801DB0C" w14:textId="6BD00EAA" w:rsid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6A3D2FBA" w14:textId="77777777" w:rsidR="009D49A5" w:rsidRPr="009D49A5" w:rsidRDefault="009D49A5" w:rsidP="00BC02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07353ECC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2E22C6E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759ADEF3" w14:textId="77777777" w:rsidTr="00F23CE2">
        <w:tc>
          <w:tcPr>
            <w:tcW w:w="10314" w:type="dxa"/>
          </w:tcPr>
          <w:p w14:paraId="20B6D86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2198950D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1CA9BA56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167F83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7A9BB48E" w14:textId="77777777" w:rsidTr="00F23CE2">
        <w:tc>
          <w:tcPr>
            <w:tcW w:w="10314" w:type="dxa"/>
          </w:tcPr>
          <w:p w14:paraId="365E27BF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6986FCC3" w14:textId="3D68AEFC" w:rsidR="009D49A5" w:rsidRPr="009D49A5" w:rsidRDefault="00BC0232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07-10-2022 Themamiddag amputatie onderste extremiteit </w:t>
            </w:r>
          </w:p>
        </w:tc>
      </w:tr>
      <w:tr w:rsidR="009D49A5" w:rsidRPr="009D49A5" w14:paraId="104D61B8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426AA51F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1F45C314" w14:textId="77777777" w:rsidTr="00F23CE2">
        <w:tc>
          <w:tcPr>
            <w:tcW w:w="10314" w:type="dxa"/>
          </w:tcPr>
          <w:p w14:paraId="03AA7FF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3EFB5848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4B76952D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59A70A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5469FD21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67BE2FFB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Deskundigheidsbevordering/onderwijs</w:t>
      </w:r>
    </w:p>
    <w:p w14:paraId="06439D22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lastRenderedPageBreak/>
        <w:t>Denk aan: Opleiding aios; Nascholing revalidatieartsen; Workshop tijdens DCRM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76F6769C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2A256091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492F2799" w14:textId="77777777" w:rsidTr="00F23CE2">
        <w:tc>
          <w:tcPr>
            <w:tcW w:w="10314" w:type="dxa"/>
          </w:tcPr>
          <w:p w14:paraId="55B8487B" w14:textId="21C7208F" w:rsidR="000E57FF" w:rsidRDefault="000E57FF" w:rsidP="000E57FF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Positionering van de WZR binnen VRA is duidelijk en ondersteunend aan onze doelen</w:t>
            </w:r>
          </w:p>
          <w:p w14:paraId="30400C03" w14:textId="77777777" w:rsidR="000E57FF" w:rsidRDefault="000E57FF" w:rsidP="000E57F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WZR sluit via actieve leden aan bij de opleiding tot revalidatiearts zodat daar ook de taken van ZRA geborgd worden</w:t>
            </w:r>
          </w:p>
          <w:p w14:paraId="438B119A" w14:textId="77777777" w:rsidR="009D49A5" w:rsidRPr="009D49A5" w:rsidRDefault="009D49A5" w:rsidP="00BC02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2496B4F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10EEC9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4F900E16" w14:textId="77777777" w:rsidTr="00F23CE2">
        <w:tc>
          <w:tcPr>
            <w:tcW w:w="10314" w:type="dxa"/>
          </w:tcPr>
          <w:p w14:paraId="788B285A" w14:textId="77777777" w:rsidR="00BC0232" w:rsidRDefault="00BC0232" w:rsidP="00BC023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C0232">
              <w:rPr>
                <w:rFonts w:ascii="Arial" w:hAnsi="Arial" w:cs="Arial"/>
                <w:sz w:val="20"/>
                <w:szCs w:val="20"/>
              </w:rPr>
              <w:t>P10 document opstellen om weer te geven wat in de opleiding thuishoort om goed op te leiden tot ziekenhuisrevalidatiearts</w:t>
            </w:r>
          </w:p>
          <w:p w14:paraId="0D97EFC5" w14:textId="77777777" w:rsidR="00BC0232" w:rsidRDefault="00BC0232" w:rsidP="00BC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P13 workshop of symposium organiseren op DCRM (bijvoorbeeld: multidisciplinair medisch specialistisch werken)</w:t>
            </w:r>
          </w:p>
          <w:p w14:paraId="44AA5C3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569FE7E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1D09E8B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4795049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5E5C1EA7" w14:textId="77777777" w:rsidTr="00F23CE2">
        <w:tc>
          <w:tcPr>
            <w:tcW w:w="10314" w:type="dxa"/>
          </w:tcPr>
          <w:p w14:paraId="4B98E678" w14:textId="292A2282" w:rsidR="00BC0232" w:rsidRDefault="00BC0232" w:rsidP="00BC023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Betreffende EPA’s zijn geïnventariseerd: </w:t>
            </w:r>
            <w:r>
              <w:rPr>
                <w:rFonts w:ascii="Arial" w:hAnsi="Arial" w:cs="Arial"/>
                <w:sz w:val="20"/>
                <w:szCs w:val="20"/>
              </w:rPr>
              <w:t>EPA1, EPA5, EPA4</w:t>
            </w:r>
            <w:r>
              <w:rPr>
                <w:rFonts w:ascii="Arial" w:hAnsi="Arial" w:cs="Arial"/>
                <w:sz w:val="20"/>
                <w:szCs w:val="20"/>
              </w:rPr>
              <w:t>. Document wordt opgesteld.</w:t>
            </w:r>
          </w:p>
          <w:p w14:paraId="2032B444" w14:textId="6773BBFE" w:rsidR="009D49A5" w:rsidRPr="009D49A5" w:rsidRDefault="00BC0232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DCRM Symposium ‘MSR indicatiestelling en externe factoren’ </w:t>
            </w:r>
            <w:r w:rsidR="0092660E">
              <w:rPr>
                <w:rFonts w:ascii="Arial" w:hAnsi="Arial" w:cs="Arial"/>
                <w:sz w:val="20"/>
                <w:szCs w:val="20"/>
              </w:rPr>
              <w:t>op 11-11-2022</w:t>
            </w:r>
          </w:p>
          <w:p w14:paraId="543A561D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5D06865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149038E4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0F10DA37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7118CF9E" w14:textId="77777777" w:rsidTr="00F23CE2">
        <w:tc>
          <w:tcPr>
            <w:tcW w:w="10314" w:type="dxa"/>
          </w:tcPr>
          <w:p w14:paraId="7BE32C2F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3D61EEF4" w14:textId="77777777" w:rsidR="009D49A5" w:rsidRPr="009D49A5" w:rsidRDefault="009D49A5" w:rsidP="00BC023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120B44F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1B75DE0F" w14:textId="72AF9949" w:rsidR="00C85309" w:rsidRPr="009D49A5" w:rsidRDefault="00C85309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7A39D1EA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Samenwerkingsverbanden/netwerk</w:t>
      </w:r>
    </w:p>
    <w:p w14:paraId="1736E8C9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Contacten met (patiënten)organisaties en andere wetenschappelijke verenigingen; Voorlichtingsmateriaal t.b.v. patiënten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31EC4B05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BB5362E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588EE2E8" w14:textId="77777777" w:rsidTr="00F23CE2">
        <w:tc>
          <w:tcPr>
            <w:tcW w:w="10314" w:type="dxa"/>
          </w:tcPr>
          <w:p w14:paraId="27076213" w14:textId="77777777" w:rsidR="000E57FF" w:rsidRDefault="000E57FF" w:rsidP="000E57FF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WZR legt verbinding met (werkgroepen van) wetenschappelijke verenigingen van relevante specialismen om samenwerking en kennisuitwisseling te bevorderen </w:t>
            </w:r>
          </w:p>
          <w:p w14:paraId="478FAE1C" w14:textId="77777777" w:rsidR="000E57FF" w:rsidRDefault="000E57FF" w:rsidP="000E57F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WZR heeft een tool om concreet inhoudelijk te laten zien wat een ZRA doet aan MS, HA, SO etc</w:t>
            </w:r>
          </w:p>
          <w:p w14:paraId="3627B2FA" w14:textId="77777777" w:rsidR="000E57FF" w:rsidRDefault="000E57FF" w:rsidP="000E57F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WZR maakt inzichtelijk wat de ZRA bijdraagt aan de kwaliteit van leven bij patiëntengroepen (personae/zorgzwaarte)</w:t>
            </w:r>
          </w:p>
          <w:p w14:paraId="1F01B1ED" w14:textId="77777777" w:rsidR="000E57FF" w:rsidRDefault="000E57FF" w:rsidP="000E57F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WZR maakt duidelijk wat de kosten-baten zijn van de ZRA &gt; (maatschappelijke) business case voor top5 activiteiten</w:t>
            </w:r>
          </w:p>
          <w:p w14:paraId="0A93862B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3082076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7CA3BC7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3CE2E469" w14:textId="77777777" w:rsidTr="00F23CE2">
        <w:tc>
          <w:tcPr>
            <w:tcW w:w="10314" w:type="dxa"/>
          </w:tcPr>
          <w:p w14:paraId="1E8DFA76" w14:textId="77777777" w:rsidR="00F11352" w:rsidRDefault="00F11352" w:rsidP="00F1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P8 plan voor ontwikkelen van tool voor profileren ZRA aan externe betrokkenen</w:t>
            </w:r>
          </w:p>
          <w:p w14:paraId="05B66AAE" w14:textId="77777777" w:rsidR="00F11352" w:rsidRDefault="00F11352" w:rsidP="00F1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P11 Business case enkelvoudig consult voorbereiden</w:t>
            </w:r>
          </w:p>
          <w:p w14:paraId="220F37F8" w14:textId="77777777" w:rsidR="009D49A5" w:rsidRPr="009D49A5" w:rsidRDefault="009D49A5" w:rsidP="00F11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1C37BC3C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761564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409966E8" w14:textId="77777777" w:rsidTr="00F23CE2">
        <w:tc>
          <w:tcPr>
            <w:tcW w:w="10314" w:type="dxa"/>
          </w:tcPr>
          <w:p w14:paraId="213D067E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0710719D" w14:textId="77777777" w:rsidR="0010004B" w:rsidRPr="009D49A5" w:rsidRDefault="0010004B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46C2F76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2187FC4E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80DB93B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4667AE34" w14:textId="77777777" w:rsidTr="00F23CE2">
        <w:tc>
          <w:tcPr>
            <w:tcW w:w="10314" w:type="dxa"/>
          </w:tcPr>
          <w:p w14:paraId="78E6F71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38AB415F" w14:textId="48CA262E" w:rsidR="0010004B" w:rsidRDefault="00F11352" w:rsidP="0010004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WZR dient als achterban voor deelname</w:t>
            </w:r>
            <w:r w:rsidR="0010004B">
              <w:rPr>
                <w:rFonts w:ascii="Arial" w:hAnsi="Arial" w:cs="Arial"/>
                <w:sz w:val="20"/>
                <w:szCs w:val="20"/>
              </w:rPr>
              <w:t xml:space="preserve"> aan de </w:t>
            </w:r>
            <w:r>
              <w:rPr>
                <w:rFonts w:ascii="Arial" w:hAnsi="Arial" w:cs="Arial"/>
                <w:sz w:val="20"/>
                <w:szCs w:val="20"/>
              </w:rPr>
              <w:t xml:space="preserve">SKMS </w:t>
            </w:r>
            <w:r w:rsidR="0010004B">
              <w:rPr>
                <w:rFonts w:ascii="Arial" w:hAnsi="Arial" w:cs="Arial"/>
                <w:sz w:val="20"/>
                <w:szCs w:val="20"/>
              </w:rPr>
              <w:t xml:space="preserve">werkgroep multidisciplinaire beoordeling bij multimorbiditeit van de </w:t>
            </w:r>
            <w:r>
              <w:rPr>
                <w:rFonts w:ascii="Arial" w:hAnsi="Arial" w:cs="Arial"/>
                <w:sz w:val="20"/>
                <w:szCs w:val="20"/>
              </w:rPr>
              <w:t>FMS</w:t>
            </w:r>
            <w:r w:rsidR="0010004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1A3B0" w14:textId="4A79C8AE" w:rsidR="009D49A5" w:rsidRPr="009D49A5" w:rsidRDefault="00F11352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WZR is vertegenwoordigd/dient als achterban in de </w:t>
            </w:r>
            <w:r w:rsidR="0010004B">
              <w:rPr>
                <w:rFonts w:ascii="Arial" w:hAnsi="Arial" w:cs="Arial"/>
                <w:sz w:val="20"/>
                <w:szCs w:val="20"/>
              </w:rPr>
              <w:t xml:space="preserve">NDF werkgroep </w:t>
            </w:r>
            <w:r w:rsidR="0010004B" w:rsidRPr="007F36D9">
              <w:rPr>
                <w:rFonts w:ascii="Arial" w:hAnsi="Arial" w:cs="Arial"/>
                <w:sz w:val="20"/>
                <w:szCs w:val="20"/>
              </w:rPr>
              <w:t>multidisciplinaire zorg voor de diabetische voet</w:t>
            </w:r>
            <w:r>
              <w:rPr>
                <w:rFonts w:ascii="Arial" w:hAnsi="Arial" w:cs="Arial"/>
                <w:sz w:val="20"/>
                <w:szCs w:val="20"/>
              </w:rPr>
              <w:t xml:space="preserve"> en heeft daartoe een eigen subgroep diabetische voet.</w:t>
            </w:r>
          </w:p>
          <w:p w14:paraId="071186A9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59888A5" w14:textId="1A7741FC" w:rsidR="009D49A5" w:rsidRPr="009D49A5" w:rsidRDefault="009D49A5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6C2B2721" w14:textId="4E8908B2" w:rsidR="009D49A5" w:rsidRPr="009D49A5" w:rsidRDefault="009D49A5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1B21F9AD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Overige activiteiten</w:t>
      </w:r>
    </w:p>
    <w:p w14:paraId="017414A7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Profilering vak; VRA website; Revalidatie Kennisnet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71C56C2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83FC71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7E426B2F" w14:textId="77777777" w:rsidTr="00F23CE2">
        <w:tc>
          <w:tcPr>
            <w:tcW w:w="10314" w:type="dxa"/>
          </w:tcPr>
          <w:p w14:paraId="1CC40415" w14:textId="77777777" w:rsidR="000E57FF" w:rsidRDefault="000E57FF" w:rsidP="000E57F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leden van de WZR vertegenwoordigen de positie van de ziekenhuisrevalidatiearts in de diagnosegebonden werkgroepen van de VRA</w:t>
            </w:r>
          </w:p>
          <w:p w14:paraId="54001B7F" w14:textId="00F8F911" w:rsidR="000E57FF" w:rsidRDefault="000E57FF" w:rsidP="000E57F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WZR maakt inzichtelijk wat de ZRA bijdraagt aan de JZOJP</w:t>
            </w:r>
          </w:p>
          <w:p w14:paraId="4F23D195" w14:textId="77777777" w:rsidR="000E57FF" w:rsidRDefault="000E57FF" w:rsidP="000E57F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 WZR maakt duidelijk wat de kosten-baten zijn van de ZRA &gt; (maatschappelijke) business case voor top5 activiteiten</w:t>
            </w:r>
          </w:p>
          <w:p w14:paraId="7F3B9704" w14:textId="77777777" w:rsidR="000E57FF" w:rsidRDefault="000E57FF" w:rsidP="000E57F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WZR heeft een overzicht van de verschillen tussen ZRA's in NL, tav oa dienstbetrekking, type instelling, activiteiten</w:t>
            </w:r>
          </w:p>
          <w:p w14:paraId="35950237" w14:textId="0A6823E9" w:rsidR="000E57FF" w:rsidRDefault="000E57FF" w:rsidP="000E57F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WZR kan reageren op snelle landelijke politieke/zorgorganisatorische ontwikkelingen en budgetten</w:t>
            </w:r>
          </w:p>
          <w:p w14:paraId="3DD43512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1104BFE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6D03A212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516F6B7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lastRenderedPageBreak/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34441B1F" w14:textId="77777777" w:rsidTr="00F23CE2">
        <w:tc>
          <w:tcPr>
            <w:tcW w:w="10314" w:type="dxa"/>
          </w:tcPr>
          <w:p w14:paraId="1D55B07B" w14:textId="77777777" w:rsidR="00F11352" w:rsidRPr="00F11352" w:rsidRDefault="00F11352" w:rsidP="00F11352">
            <w:pPr>
              <w:spacing w:after="0" w:line="240" w:lineRule="auto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F11352">
              <w:rPr>
                <w:rFonts w:ascii="Arial" w:hAnsi="Arial" w:cs="Arial"/>
                <w:sz w:val="20"/>
                <w:szCs w:val="20"/>
              </w:rPr>
              <w:t>P2 Structurele basis voor nauwe samenwerking met RN, voor activiteiten waarin lobbyen/centrale slagkracht gewenst is</w:t>
            </w:r>
          </w:p>
          <w:p w14:paraId="7B6028B6" w14:textId="77777777" w:rsidR="00F11352" w:rsidRPr="00F11352" w:rsidRDefault="00F11352" w:rsidP="00F11352">
            <w:pPr>
              <w:spacing w:after="0" w:line="240" w:lineRule="auto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F11352">
              <w:rPr>
                <w:rFonts w:ascii="Arial" w:hAnsi="Arial" w:cs="Arial"/>
                <w:sz w:val="20"/>
                <w:szCs w:val="20"/>
              </w:rPr>
              <w:t>P3 ZRA zijn zich bewust van hun positie in de diagnosewerkgroepen; afspraken over profilering en terugkoppeling zijn gemaakt</w:t>
            </w:r>
          </w:p>
          <w:p w14:paraId="3306B9A4" w14:textId="77777777" w:rsidR="00F11352" w:rsidRPr="00F11352" w:rsidRDefault="00F11352" w:rsidP="00F11352">
            <w:pPr>
              <w:spacing w:after="0" w:line="240" w:lineRule="auto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F11352">
              <w:rPr>
                <w:rFonts w:ascii="Arial" w:hAnsi="Arial" w:cs="Arial"/>
                <w:sz w:val="20"/>
                <w:szCs w:val="20"/>
              </w:rPr>
              <w:t>P4 Intervisiebijeenkomsten organiseren en agenda's bepalen</w:t>
            </w:r>
          </w:p>
          <w:p w14:paraId="240C953B" w14:textId="77777777" w:rsidR="00F11352" w:rsidRPr="009D49A5" w:rsidRDefault="00F11352" w:rsidP="00F1135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F11352">
              <w:rPr>
                <w:rFonts w:ascii="Arial" w:hAnsi="Arial" w:cs="Arial"/>
                <w:sz w:val="20"/>
                <w:szCs w:val="20"/>
              </w:rPr>
              <w:t>P5 Inzichtelijk maken en consensus huidige situatie en gewenste rol  en werkwijze van de ZRA (profiel)</w:t>
            </w:r>
          </w:p>
          <w:p w14:paraId="7B0C414A" w14:textId="77777777" w:rsidR="00F11352" w:rsidRDefault="00F11352" w:rsidP="00F1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P6 dynamisch actueel overzicht van de achterban in Nederland </w:t>
            </w:r>
          </w:p>
          <w:p w14:paraId="2BE53830" w14:textId="77777777" w:rsidR="00F11352" w:rsidRDefault="00F11352" w:rsidP="00F1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P15 Onderzoek / enquete naar werkomstandigheden alle ziekenhuisrevalidatieartsen opstellen</w:t>
            </w:r>
          </w:p>
          <w:p w14:paraId="64EEB289" w14:textId="77777777" w:rsidR="009D49A5" w:rsidRPr="009D49A5" w:rsidRDefault="009D49A5" w:rsidP="00F1135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7C2775B9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3D1369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5C00B458" w14:textId="77777777" w:rsidTr="00F23CE2">
        <w:tc>
          <w:tcPr>
            <w:tcW w:w="10314" w:type="dxa"/>
          </w:tcPr>
          <w:p w14:paraId="10DC2F9F" w14:textId="00C2704C" w:rsidR="009D49A5" w:rsidRDefault="00F11352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is een samenwerking met RN op gang gebracht door gezamenlijke organisatie van de themamiddag ziekenhuisrevalidatie op 19-05-2022, die wordt voortgezet door middel van vervolgbijeenkomsten</w:t>
            </w:r>
          </w:p>
          <w:p w14:paraId="3E5AC4B0" w14:textId="54824FC6" w:rsidR="00F11352" w:rsidRPr="009D49A5" w:rsidRDefault="00F11352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Kennisnet is gepresenteerd als medium met een forum-functie voor intervisie-onderwerpen</w:t>
            </w:r>
          </w:p>
          <w:p w14:paraId="439C3DEE" w14:textId="77777777" w:rsidR="009D49A5" w:rsidRPr="009D49A5" w:rsidRDefault="009D49A5" w:rsidP="00BC023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5D9C590D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2213687D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4B521349" w14:textId="77777777" w:rsidTr="00F23CE2">
        <w:tc>
          <w:tcPr>
            <w:tcW w:w="10314" w:type="dxa"/>
          </w:tcPr>
          <w:p w14:paraId="5211392A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79CADA3E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7623827E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BAA692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681C4EC1" w14:textId="77777777" w:rsidR="009D49A5" w:rsidRPr="00E36F6D" w:rsidRDefault="009D49A5" w:rsidP="009D49A5">
      <w:pPr>
        <w:spacing w:after="0"/>
        <w:rPr>
          <w:b/>
          <w:bCs/>
          <w:sz w:val="24"/>
          <w:szCs w:val="24"/>
        </w:rPr>
      </w:pPr>
      <w:r w:rsidRPr="00E36F6D">
        <w:rPr>
          <w:b/>
          <w:bCs/>
          <w:sz w:val="24"/>
          <w:szCs w:val="24"/>
        </w:rPr>
        <w:t>Financiën werkgroep</w:t>
      </w:r>
    </w:p>
    <w:p w14:paraId="21062938" w14:textId="77777777" w:rsidR="009D49A5" w:rsidRDefault="009D49A5" w:rsidP="009D49A5">
      <w:pPr>
        <w:spacing w:after="0"/>
      </w:pPr>
    </w:p>
    <w:p w14:paraId="0DD26E1C" w14:textId="1918669C" w:rsidR="00004E22" w:rsidRPr="00004E22" w:rsidRDefault="004A48A9" w:rsidP="001F0A55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Volgt in </w:t>
      </w:r>
      <w:r w:rsidR="00004E22">
        <w:rPr>
          <w:rFonts w:ascii="Arial" w:hAnsi="Arial" w:cs="Arial"/>
          <w:bCs/>
          <w:iCs/>
          <w:sz w:val="20"/>
          <w:szCs w:val="20"/>
        </w:rPr>
        <w:t>contact met de financieel medewerker van de VRA, Arjan van Ogtrop.</w:t>
      </w:r>
    </w:p>
    <w:sectPr w:rsidR="00004E22" w:rsidRPr="00004E22" w:rsidSect="001F0A55">
      <w:headerReference w:type="default" r:id="rId11"/>
      <w:footerReference w:type="default" r:id="rId12"/>
      <w:pgSz w:w="11906" w:h="16838"/>
      <w:pgMar w:top="1417" w:right="849" w:bottom="1417" w:left="993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5F7C" w14:textId="77777777" w:rsidR="001533C4" w:rsidRDefault="001533C4" w:rsidP="00007FDE">
      <w:pPr>
        <w:spacing w:after="0" w:line="240" w:lineRule="auto"/>
      </w:pPr>
      <w:r>
        <w:separator/>
      </w:r>
    </w:p>
  </w:endnote>
  <w:endnote w:type="continuationSeparator" w:id="0">
    <w:p w14:paraId="22F0642C" w14:textId="77777777" w:rsidR="001533C4" w:rsidRDefault="001533C4" w:rsidP="0000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890917"/>
      <w:docPartObj>
        <w:docPartGallery w:val="Page Numbers (Bottom of Page)"/>
        <w:docPartUnique/>
      </w:docPartObj>
    </w:sdtPr>
    <w:sdtContent>
      <w:p w14:paraId="602B34C4" w14:textId="77777777" w:rsidR="00FC7A53" w:rsidRDefault="009E5F5B">
        <w:pPr>
          <w:pStyle w:val="Voettekst"/>
          <w:jc w:val="right"/>
        </w:pPr>
        <w:r>
          <w:fldChar w:fldCharType="begin"/>
        </w:r>
        <w:r w:rsidR="00175740">
          <w:instrText xml:space="preserve"> PAGE   \* MERGEFORMAT </w:instrText>
        </w:r>
        <w:r>
          <w:fldChar w:fldCharType="separate"/>
        </w:r>
        <w:r w:rsidR="00934A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943CF5" w14:textId="77777777" w:rsidR="00FC7A53" w:rsidRDefault="00FC7A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71BA" w14:textId="77777777" w:rsidR="001533C4" w:rsidRDefault="001533C4" w:rsidP="00007FDE">
      <w:pPr>
        <w:spacing w:after="0" w:line="240" w:lineRule="auto"/>
      </w:pPr>
      <w:r>
        <w:separator/>
      </w:r>
    </w:p>
  </w:footnote>
  <w:footnote w:type="continuationSeparator" w:id="0">
    <w:p w14:paraId="45057BB4" w14:textId="77777777" w:rsidR="001533C4" w:rsidRDefault="001533C4" w:rsidP="0000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0AA5" w14:textId="77777777" w:rsidR="00007FDE" w:rsidRDefault="00007FDE" w:rsidP="002A6F45">
    <w:pPr>
      <w:pStyle w:val="Koptekst"/>
      <w:tabs>
        <w:tab w:val="clear" w:pos="4536"/>
        <w:tab w:val="clear" w:pos="9072"/>
        <w:tab w:val="left" w:pos="5515"/>
      </w:tabs>
    </w:pPr>
    <w:r w:rsidRPr="00007FDE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4D0DB45" wp14:editId="1B78B4BE">
          <wp:simplePos x="0" y="0"/>
          <wp:positionH relativeFrom="margin">
            <wp:posOffset>5019675</wp:posOffset>
          </wp:positionH>
          <wp:positionV relativeFrom="margin">
            <wp:posOffset>-788035</wp:posOffset>
          </wp:positionV>
          <wp:extent cx="1252855" cy="767715"/>
          <wp:effectExtent l="19050" t="0" r="4445" b="0"/>
          <wp:wrapSquare wrapText="bothSides"/>
          <wp:docPr id="9" name="Afbeelding 9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00dpi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F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96796"/>
    <w:multiLevelType w:val="hybridMultilevel"/>
    <w:tmpl w:val="6BD42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40EBD"/>
    <w:multiLevelType w:val="hybridMultilevel"/>
    <w:tmpl w:val="11D0DF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6516">
    <w:abstractNumId w:val="1"/>
  </w:num>
  <w:num w:numId="2" w16cid:durableId="90021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19"/>
    <w:rsid w:val="00004E22"/>
    <w:rsid w:val="00007FDE"/>
    <w:rsid w:val="00040B25"/>
    <w:rsid w:val="000E57FF"/>
    <w:rsid w:val="0010004B"/>
    <w:rsid w:val="001533C4"/>
    <w:rsid w:val="00175740"/>
    <w:rsid w:val="001825B4"/>
    <w:rsid w:val="001C7975"/>
    <w:rsid w:val="001E61C3"/>
    <w:rsid w:val="001F0A55"/>
    <w:rsid w:val="001F14F4"/>
    <w:rsid w:val="002220D1"/>
    <w:rsid w:val="00275243"/>
    <w:rsid w:val="002809AF"/>
    <w:rsid w:val="002A6F45"/>
    <w:rsid w:val="002B1FF8"/>
    <w:rsid w:val="002B47E2"/>
    <w:rsid w:val="003079D2"/>
    <w:rsid w:val="00402DD8"/>
    <w:rsid w:val="00484F52"/>
    <w:rsid w:val="004A48A9"/>
    <w:rsid w:val="00534582"/>
    <w:rsid w:val="00571EA7"/>
    <w:rsid w:val="005F20B6"/>
    <w:rsid w:val="00644065"/>
    <w:rsid w:val="006476D5"/>
    <w:rsid w:val="00726DB9"/>
    <w:rsid w:val="00732C3B"/>
    <w:rsid w:val="007520C2"/>
    <w:rsid w:val="00754D84"/>
    <w:rsid w:val="007863E8"/>
    <w:rsid w:val="007A6DA4"/>
    <w:rsid w:val="007C770C"/>
    <w:rsid w:val="007D1BAC"/>
    <w:rsid w:val="007F36D9"/>
    <w:rsid w:val="00801CD6"/>
    <w:rsid w:val="00835F6D"/>
    <w:rsid w:val="0084595E"/>
    <w:rsid w:val="00862867"/>
    <w:rsid w:val="00887C0D"/>
    <w:rsid w:val="008938F7"/>
    <w:rsid w:val="008A383F"/>
    <w:rsid w:val="008E1B24"/>
    <w:rsid w:val="0092474A"/>
    <w:rsid w:val="0092660E"/>
    <w:rsid w:val="00926A09"/>
    <w:rsid w:val="00930C2A"/>
    <w:rsid w:val="00934A73"/>
    <w:rsid w:val="009408D3"/>
    <w:rsid w:val="009844F1"/>
    <w:rsid w:val="009862AB"/>
    <w:rsid w:val="009A2ECD"/>
    <w:rsid w:val="009C4423"/>
    <w:rsid w:val="009D49A5"/>
    <w:rsid w:val="009E5F5B"/>
    <w:rsid w:val="009F7F75"/>
    <w:rsid w:val="00A5438F"/>
    <w:rsid w:val="00AB0F07"/>
    <w:rsid w:val="00B04B5A"/>
    <w:rsid w:val="00B1416C"/>
    <w:rsid w:val="00B21E19"/>
    <w:rsid w:val="00BA7A48"/>
    <w:rsid w:val="00BC0232"/>
    <w:rsid w:val="00BC45CA"/>
    <w:rsid w:val="00BF3FF9"/>
    <w:rsid w:val="00C61649"/>
    <w:rsid w:val="00C85309"/>
    <w:rsid w:val="00CB6035"/>
    <w:rsid w:val="00CC4D9E"/>
    <w:rsid w:val="00D67054"/>
    <w:rsid w:val="00D70D70"/>
    <w:rsid w:val="00D91CF3"/>
    <w:rsid w:val="00DD4709"/>
    <w:rsid w:val="00DD5B0F"/>
    <w:rsid w:val="00E647A8"/>
    <w:rsid w:val="00EE2214"/>
    <w:rsid w:val="00F10B0F"/>
    <w:rsid w:val="00F11352"/>
    <w:rsid w:val="00F146B9"/>
    <w:rsid w:val="00F51C19"/>
    <w:rsid w:val="00F952E4"/>
    <w:rsid w:val="00FA370D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DE053"/>
  <w15:docId w15:val="{171CD6B2-83D9-465A-89B9-ED83E449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5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00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07FDE"/>
  </w:style>
  <w:style w:type="paragraph" w:styleId="Voettekst">
    <w:name w:val="footer"/>
    <w:basedOn w:val="Standaard"/>
    <w:link w:val="VoettekstChar"/>
    <w:uiPriority w:val="99"/>
    <w:unhideWhenUsed/>
    <w:rsid w:val="0000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7FDE"/>
  </w:style>
  <w:style w:type="character" w:styleId="Verwijzingopmerking">
    <w:name w:val="annotation reference"/>
    <w:basedOn w:val="Standaardalinea-lettertype"/>
    <w:uiPriority w:val="99"/>
    <w:semiHidden/>
    <w:unhideWhenUsed/>
    <w:rsid w:val="001757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757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574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57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574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574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D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5" ma:contentTypeDescription="Een nieuw document maken." ma:contentTypeScope="" ma:versionID="08dc838544ec066c4590737640434343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253d839e2b13b475e5a08f0c2503e6c4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cb9f8d-4a4f-4245-ae84-7c5db39c43d2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21091-3ACA-4219-B65F-B8570E5A1C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985B92-1DCE-49C2-B204-8CD572E00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FE52F-9DD3-45DF-8A62-B718682504A4}"/>
</file>

<file path=customXml/itemProps4.xml><?xml version="1.0" encoding="utf-8"?>
<ds:datastoreItem xmlns:ds="http://schemas.openxmlformats.org/officeDocument/2006/customXml" ds:itemID="{F7B8CAFA-E1BD-481B-BFBA-CED4BB8A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1325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VRA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Annejet Borgmeier</dc:creator>
  <cp:lastModifiedBy>Chantal Bakker</cp:lastModifiedBy>
  <cp:revision>5</cp:revision>
  <cp:lastPrinted>2014-01-29T13:43:00Z</cp:lastPrinted>
  <dcterms:created xsi:type="dcterms:W3CDTF">2023-01-20T00:39:00Z</dcterms:created>
  <dcterms:modified xsi:type="dcterms:W3CDTF">2023-01-20T01:48:00Z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0x01010031414466D87C5741BF43CD8B4AE96E9A</vt:lpwstr>
  </property>
  <property fmtid="{D5CDD505-2E9C-101B-9397-08002B2CF9AE}" pid="3" name="Order">
    <vt:r8>100</vt:r8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</Properties>
</file>